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BC951" w14:textId="77777777" w:rsidR="00C252E6" w:rsidRPr="006A55DD" w:rsidRDefault="00C252E6" w:rsidP="00C252E6">
      <w:pPr>
        <w:spacing w:line="360" w:lineRule="auto"/>
        <w:jc w:val="center"/>
        <w:rPr>
          <w:b/>
        </w:rPr>
      </w:pPr>
      <w:bookmarkStart w:id="0" w:name="_GoBack"/>
      <w:bookmarkEnd w:id="0"/>
      <w:r w:rsidRPr="00A41CEE">
        <w:rPr>
          <w:b/>
          <w:noProof/>
          <w:lang w:val="en-ZA" w:eastAsia="en-ZA"/>
        </w:rPr>
        <w:drawing>
          <wp:inline distT="0" distB="0" distL="0" distR="0" wp14:anchorId="1F7CA0EE" wp14:editId="0B368AE7">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0096FB00" w14:textId="77777777" w:rsidR="00C252E6" w:rsidRDefault="00C252E6" w:rsidP="00C252E6">
      <w:pPr>
        <w:pStyle w:val="NoSpacing"/>
        <w:jc w:val="right"/>
        <w:rPr>
          <w:rFonts w:ascii="Arial" w:hAnsi="Arial" w:cs="Arial"/>
          <w:b/>
          <w:sz w:val="24"/>
          <w:szCs w:val="24"/>
        </w:rPr>
      </w:pPr>
      <w:r>
        <w:rPr>
          <w:rFonts w:ascii="Arial" w:hAnsi="Arial" w:cs="Arial"/>
          <w:b/>
          <w:sz w:val="24"/>
          <w:szCs w:val="24"/>
        </w:rPr>
        <w:t>REPORTABLE</w:t>
      </w:r>
    </w:p>
    <w:p w14:paraId="3B27E8EC" w14:textId="77777777" w:rsidR="00C252E6" w:rsidRDefault="00C252E6" w:rsidP="00C252E6">
      <w:pPr>
        <w:pStyle w:val="NoSpacing"/>
        <w:jc w:val="right"/>
        <w:rPr>
          <w:rFonts w:ascii="Arial" w:hAnsi="Arial" w:cs="Arial"/>
          <w:sz w:val="24"/>
          <w:szCs w:val="24"/>
        </w:rPr>
      </w:pPr>
    </w:p>
    <w:p w14:paraId="051F68E0" w14:textId="2FB9848D" w:rsidR="00C252E6" w:rsidRDefault="00C252E6" w:rsidP="00C252E6">
      <w:pPr>
        <w:pStyle w:val="NoSpacing"/>
        <w:jc w:val="right"/>
        <w:rPr>
          <w:rFonts w:ascii="Arial" w:hAnsi="Arial" w:cs="Arial"/>
          <w:sz w:val="24"/>
          <w:szCs w:val="24"/>
        </w:rPr>
      </w:pPr>
      <w:r>
        <w:rPr>
          <w:rFonts w:ascii="Arial" w:hAnsi="Arial" w:cs="Arial"/>
          <w:sz w:val="24"/>
          <w:szCs w:val="24"/>
        </w:rPr>
        <w:t xml:space="preserve">CASE NO: SA </w:t>
      </w:r>
      <w:r w:rsidRPr="00C252E6">
        <w:rPr>
          <w:rFonts w:ascii="Arial" w:eastAsia="Calibri" w:hAnsi="Arial" w:cs="Arial"/>
          <w:sz w:val="24"/>
          <w:szCs w:val="24"/>
          <w:lang w:val="en-GB"/>
        </w:rPr>
        <w:t>85/2019</w:t>
      </w:r>
    </w:p>
    <w:p w14:paraId="21070EBA" w14:textId="77777777" w:rsidR="00C252E6" w:rsidRDefault="00C252E6" w:rsidP="00C252E6">
      <w:pPr>
        <w:pStyle w:val="NoSpacing"/>
        <w:rPr>
          <w:rFonts w:ascii="Arial" w:hAnsi="Arial" w:cs="Arial"/>
          <w:sz w:val="24"/>
          <w:szCs w:val="24"/>
        </w:rPr>
      </w:pPr>
    </w:p>
    <w:p w14:paraId="26CCB5A3" w14:textId="77777777" w:rsidR="00C252E6" w:rsidRPr="00991107" w:rsidRDefault="00C252E6" w:rsidP="00C252E6">
      <w:pPr>
        <w:pStyle w:val="NoSpacing"/>
        <w:rPr>
          <w:rFonts w:ascii="Arial" w:hAnsi="Arial" w:cs="Arial"/>
          <w:sz w:val="24"/>
          <w:szCs w:val="24"/>
        </w:rPr>
      </w:pPr>
    </w:p>
    <w:p w14:paraId="1660ED4F" w14:textId="77777777" w:rsidR="00C252E6" w:rsidRPr="00970591" w:rsidRDefault="00C252E6" w:rsidP="00C252E6">
      <w:pPr>
        <w:pStyle w:val="NoSpacing"/>
        <w:rPr>
          <w:rFonts w:ascii="Arial" w:hAnsi="Arial" w:cs="Arial"/>
          <w:b/>
          <w:sz w:val="24"/>
          <w:szCs w:val="24"/>
        </w:rPr>
      </w:pPr>
      <w:r w:rsidRPr="00970591">
        <w:rPr>
          <w:rFonts w:ascii="Arial" w:hAnsi="Arial" w:cs="Arial"/>
          <w:b/>
          <w:sz w:val="24"/>
          <w:szCs w:val="24"/>
        </w:rPr>
        <w:t>IN THE SUPREME COURT OF NAMIBIA</w:t>
      </w:r>
    </w:p>
    <w:p w14:paraId="1D2B7A22" w14:textId="77777777" w:rsidR="002D4CCA" w:rsidRPr="00DA4A51" w:rsidRDefault="002D4CCA" w:rsidP="00C252E6">
      <w:pPr>
        <w:spacing w:line="480" w:lineRule="auto"/>
        <w:jc w:val="center"/>
        <w:rPr>
          <w:rFonts w:ascii="Arial" w:hAnsi="Arial" w:cs="Arial"/>
          <w:b/>
        </w:rPr>
      </w:pPr>
    </w:p>
    <w:p w14:paraId="34BBE057" w14:textId="77777777" w:rsidR="002D4CCA" w:rsidRPr="00DA4A51" w:rsidRDefault="002D4CCA" w:rsidP="00F355DB">
      <w:pPr>
        <w:spacing w:line="480" w:lineRule="auto"/>
        <w:rPr>
          <w:rFonts w:ascii="Arial" w:hAnsi="Arial" w:cs="Arial"/>
        </w:rPr>
      </w:pPr>
    </w:p>
    <w:p w14:paraId="269A282C" w14:textId="77777777" w:rsidR="002D4CCA" w:rsidRPr="00DA4A51" w:rsidRDefault="002D4CCA" w:rsidP="00F355DB">
      <w:pPr>
        <w:spacing w:line="480" w:lineRule="auto"/>
        <w:rPr>
          <w:rFonts w:ascii="Arial" w:hAnsi="Arial" w:cs="Arial"/>
        </w:rPr>
      </w:pPr>
      <w:r w:rsidRPr="00DA4A51">
        <w:rPr>
          <w:rFonts w:ascii="Arial" w:hAnsi="Arial" w:cs="Arial"/>
        </w:rPr>
        <w:t>In the matter between:</w:t>
      </w:r>
    </w:p>
    <w:p w14:paraId="0303ED2A" w14:textId="77777777" w:rsidR="002D4CCA" w:rsidRPr="00DA4A51" w:rsidRDefault="002D4CCA" w:rsidP="00F355DB">
      <w:pPr>
        <w:spacing w:line="480" w:lineRule="auto"/>
        <w:rPr>
          <w:rFonts w:ascii="Arial" w:hAnsi="Arial" w:cs="Arial"/>
        </w:rPr>
      </w:pPr>
    </w:p>
    <w:tbl>
      <w:tblPr>
        <w:tblW w:w="0" w:type="auto"/>
        <w:tblLook w:val="04A0" w:firstRow="1" w:lastRow="0" w:firstColumn="1" w:lastColumn="0" w:noHBand="0" w:noVBand="1"/>
      </w:tblPr>
      <w:tblGrid>
        <w:gridCol w:w="5812"/>
        <w:gridCol w:w="3096"/>
      </w:tblGrid>
      <w:tr w:rsidR="002D4CCA" w:rsidRPr="00975C1A" w14:paraId="1FF61975" w14:textId="77777777" w:rsidTr="00E67470">
        <w:tc>
          <w:tcPr>
            <w:tcW w:w="5812" w:type="dxa"/>
            <w:shd w:val="clear" w:color="auto" w:fill="auto"/>
          </w:tcPr>
          <w:p w14:paraId="48AE1B2E" w14:textId="77777777" w:rsidR="002D4CCA" w:rsidRPr="00DA4A51" w:rsidRDefault="002D4CCA" w:rsidP="00553FEF">
            <w:pPr>
              <w:pStyle w:val="MediumGrid21"/>
              <w:spacing w:line="480" w:lineRule="auto"/>
              <w:ind w:hanging="108"/>
              <w:rPr>
                <w:rFonts w:ascii="Arial" w:hAnsi="Arial" w:cs="Arial"/>
                <w:b/>
                <w:sz w:val="24"/>
                <w:szCs w:val="24"/>
              </w:rPr>
            </w:pPr>
            <w:r w:rsidRPr="00DA4A51">
              <w:rPr>
                <w:rFonts w:ascii="Arial" w:hAnsi="Arial" w:cs="Arial"/>
                <w:b/>
                <w:sz w:val="24"/>
                <w:szCs w:val="24"/>
              </w:rPr>
              <w:t>RIVER VIEW ESTATE CC</w:t>
            </w:r>
          </w:p>
        </w:tc>
        <w:tc>
          <w:tcPr>
            <w:tcW w:w="3096" w:type="dxa"/>
            <w:shd w:val="clear" w:color="auto" w:fill="auto"/>
          </w:tcPr>
          <w:p w14:paraId="5A559305" w14:textId="77777777" w:rsidR="002D4CCA" w:rsidRPr="00DA4A51" w:rsidRDefault="002D4CCA" w:rsidP="00F355DB">
            <w:pPr>
              <w:pStyle w:val="MediumGrid21"/>
              <w:spacing w:line="480" w:lineRule="auto"/>
              <w:jc w:val="right"/>
              <w:rPr>
                <w:rFonts w:ascii="Arial" w:hAnsi="Arial" w:cs="Arial"/>
                <w:b/>
                <w:sz w:val="24"/>
                <w:szCs w:val="24"/>
              </w:rPr>
            </w:pPr>
            <w:r w:rsidRPr="00DA4A51">
              <w:rPr>
                <w:rFonts w:ascii="Arial" w:hAnsi="Arial" w:cs="Arial"/>
                <w:b/>
                <w:sz w:val="24"/>
                <w:szCs w:val="24"/>
              </w:rPr>
              <w:t>First Appellant</w:t>
            </w:r>
          </w:p>
        </w:tc>
      </w:tr>
      <w:tr w:rsidR="002D4CCA" w:rsidRPr="00975C1A" w14:paraId="54A231FF" w14:textId="77777777" w:rsidTr="00E67470">
        <w:tc>
          <w:tcPr>
            <w:tcW w:w="5812" w:type="dxa"/>
            <w:shd w:val="clear" w:color="auto" w:fill="auto"/>
          </w:tcPr>
          <w:p w14:paraId="3F3B73E6" w14:textId="3ED8E6FF" w:rsidR="002D4CCA" w:rsidRPr="00DA4A51" w:rsidRDefault="002D4CCA" w:rsidP="00553FEF">
            <w:pPr>
              <w:pStyle w:val="MediumGrid21"/>
              <w:spacing w:line="480" w:lineRule="auto"/>
              <w:ind w:hanging="108"/>
              <w:rPr>
                <w:rFonts w:ascii="Arial" w:hAnsi="Arial" w:cs="Arial"/>
                <w:b/>
                <w:sz w:val="24"/>
                <w:szCs w:val="24"/>
              </w:rPr>
            </w:pPr>
            <w:r w:rsidRPr="00DA4A51">
              <w:rPr>
                <w:rFonts w:ascii="Arial" w:hAnsi="Arial" w:cs="Arial"/>
                <w:b/>
                <w:sz w:val="24"/>
                <w:szCs w:val="24"/>
              </w:rPr>
              <w:t xml:space="preserve">BONIFACE </w:t>
            </w:r>
            <w:r w:rsidR="00584C1A">
              <w:rPr>
                <w:rFonts w:ascii="Arial" w:hAnsi="Arial" w:cs="Arial"/>
                <w:b/>
                <w:sz w:val="24"/>
                <w:szCs w:val="24"/>
              </w:rPr>
              <w:t>KANYETU</w:t>
            </w:r>
            <w:r w:rsidRPr="00DA4A51">
              <w:rPr>
                <w:rFonts w:ascii="Arial" w:hAnsi="Arial" w:cs="Arial"/>
                <w:b/>
                <w:sz w:val="24"/>
                <w:szCs w:val="24"/>
              </w:rPr>
              <w:t xml:space="preserve"> KASHERA</w:t>
            </w:r>
          </w:p>
        </w:tc>
        <w:tc>
          <w:tcPr>
            <w:tcW w:w="3096" w:type="dxa"/>
            <w:shd w:val="clear" w:color="auto" w:fill="auto"/>
          </w:tcPr>
          <w:p w14:paraId="66DA0296" w14:textId="77777777" w:rsidR="002D4CCA" w:rsidRPr="00DA4A51" w:rsidRDefault="002D4CCA" w:rsidP="00F355DB">
            <w:pPr>
              <w:pStyle w:val="MediumGrid21"/>
              <w:spacing w:line="480" w:lineRule="auto"/>
              <w:jc w:val="right"/>
              <w:rPr>
                <w:rFonts w:ascii="Arial" w:hAnsi="Arial" w:cs="Arial"/>
                <w:b/>
                <w:sz w:val="24"/>
                <w:szCs w:val="24"/>
              </w:rPr>
            </w:pPr>
            <w:r w:rsidRPr="00DA4A51">
              <w:rPr>
                <w:rFonts w:ascii="Arial" w:hAnsi="Arial" w:cs="Arial"/>
                <w:b/>
                <w:sz w:val="24"/>
                <w:szCs w:val="24"/>
              </w:rPr>
              <w:t>Second Appellant</w:t>
            </w:r>
          </w:p>
        </w:tc>
      </w:tr>
      <w:tr w:rsidR="002D4CCA" w:rsidRPr="00975C1A" w14:paraId="067E0BDB" w14:textId="77777777" w:rsidTr="00E67470">
        <w:tc>
          <w:tcPr>
            <w:tcW w:w="5812" w:type="dxa"/>
            <w:shd w:val="clear" w:color="auto" w:fill="auto"/>
          </w:tcPr>
          <w:p w14:paraId="6D64E6FD" w14:textId="77777777" w:rsidR="002D4CCA" w:rsidRPr="00DA4A51" w:rsidRDefault="002D4CCA" w:rsidP="00553FEF">
            <w:pPr>
              <w:pStyle w:val="MediumGrid21"/>
              <w:spacing w:line="480" w:lineRule="auto"/>
              <w:ind w:hanging="108"/>
              <w:rPr>
                <w:rFonts w:ascii="Arial" w:hAnsi="Arial" w:cs="Arial"/>
                <w:b/>
                <w:sz w:val="24"/>
                <w:szCs w:val="24"/>
              </w:rPr>
            </w:pPr>
            <w:r w:rsidRPr="00DA4A51">
              <w:rPr>
                <w:rFonts w:ascii="Arial" w:hAnsi="Arial" w:cs="Arial"/>
                <w:b/>
                <w:sz w:val="24"/>
                <w:szCs w:val="24"/>
              </w:rPr>
              <w:t>REGISTRAR OF DEEDS</w:t>
            </w:r>
          </w:p>
        </w:tc>
        <w:tc>
          <w:tcPr>
            <w:tcW w:w="3096" w:type="dxa"/>
            <w:shd w:val="clear" w:color="auto" w:fill="auto"/>
          </w:tcPr>
          <w:p w14:paraId="52FE7291" w14:textId="77777777" w:rsidR="002D4CCA" w:rsidRPr="00DA4A51" w:rsidRDefault="002D4CCA" w:rsidP="00F355DB">
            <w:pPr>
              <w:pStyle w:val="MediumGrid21"/>
              <w:spacing w:line="480" w:lineRule="auto"/>
              <w:jc w:val="right"/>
              <w:rPr>
                <w:rFonts w:ascii="Arial" w:hAnsi="Arial" w:cs="Arial"/>
                <w:b/>
                <w:sz w:val="24"/>
                <w:szCs w:val="24"/>
              </w:rPr>
            </w:pPr>
            <w:r w:rsidRPr="00DA4A51">
              <w:rPr>
                <w:rFonts w:ascii="Arial" w:hAnsi="Arial" w:cs="Arial"/>
                <w:b/>
                <w:sz w:val="24"/>
                <w:szCs w:val="24"/>
              </w:rPr>
              <w:t>Third Appellant</w:t>
            </w:r>
          </w:p>
        </w:tc>
      </w:tr>
      <w:tr w:rsidR="002D4CCA" w:rsidRPr="00975C1A" w14:paraId="27561846" w14:textId="77777777" w:rsidTr="00E67470">
        <w:tc>
          <w:tcPr>
            <w:tcW w:w="5812" w:type="dxa"/>
            <w:shd w:val="clear" w:color="auto" w:fill="auto"/>
          </w:tcPr>
          <w:p w14:paraId="2C99889B" w14:textId="77777777" w:rsidR="002D4CCA" w:rsidRPr="00DA4A51" w:rsidRDefault="002D4CCA" w:rsidP="00F355DB">
            <w:pPr>
              <w:pStyle w:val="MediumGrid21"/>
              <w:spacing w:line="480" w:lineRule="auto"/>
              <w:rPr>
                <w:rFonts w:ascii="Arial" w:hAnsi="Arial" w:cs="Arial"/>
                <w:b/>
                <w:sz w:val="24"/>
                <w:szCs w:val="24"/>
              </w:rPr>
            </w:pPr>
          </w:p>
        </w:tc>
        <w:tc>
          <w:tcPr>
            <w:tcW w:w="3096" w:type="dxa"/>
            <w:shd w:val="clear" w:color="auto" w:fill="auto"/>
          </w:tcPr>
          <w:p w14:paraId="191A770E" w14:textId="77777777" w:rsidR="002D4CCA" w:rsidRPr="00DA4A51" w:rsidRDefault="002D4CCA" w:rsidP="00F355DB">
            <w:pPr>
              <w:pStyle w:val="MediumGrid21"/>
              <w:spacing w:line="480" w:lineRule="auto"/>
              <w:rPr>
                <w:rFonts w:ascii="Arial" w:hAnsi="Arial" w:cs="Arial"/>
                <w:b/>
                <w:sz w:val="24"/>
                <w:szCs w:val="24"/>
              </w:rPr>
            </w:pPr>
          </w:p>
        </w:tc>
      </w:tr>
      <w:tr w:rsidR="002D4CCA" w:rsidRPr="00975C1A" w14:paraId="2BEDBEA2" w14:textId="77777777" w:rsidTr="00E67470">
        <w:tc>
          <w:tcPr>
            <w:tcW w:w="5812" w:type="dxa"/>
            <w:shd w:val="clear" w:color="auto" w:fill="auto"/>
          </w:tcPr>
          <w:p w14:paraId="2CEDF425" w14:textId="1603ACEB" w:rsidR="002D4CCA" w:rsidRPr="00DA4A51" w:rsidRDefault="00B456B5" w:rsidP="00553FEF">
            <w:pPr>
              <w:pStyle w:val="MediumGrid21"/>
              <w:spacing w:line="480" w:lineRule="auto"/>
              <w:ind w:hanging="108"/>
              <w:rPr>
                <w:rFonts w:ascii="Arial" w:hAnsi="Arial" w:cs="Arial"/>
                <w:sz w:val="24"/>
                <w:szCs w:val="24"/>
              </w:rPr>
            </w:pPr>
            <w:r>
              <w:rPr>
                <w:rFonts w:ascii="Arial" w:hAnsi="Arial" w:cs="Arial"/>
                <w:sz w:val="24"/>
                <w:szCs w:val="24"/>
              </w:rPr>
              <w:t>a</w:t>
            </w:r>
            <w:r w:rsidR="002D4CCA" w:rsidRPr="00DA4A51">
              <w:rPr>
                <w:rFonts w:ascii="Arial" w:hAnsi="Arial" w:cs="Arial"/>
                <w:sz w:val="24"/>
                <w:szCs w:val="24"/>
              </w:rPr>
              <w:t>nd</w:t>
            </w:r>
          </w:p>
        </w:tc>
        <w:tc>
          <w:tcPr>
            <w:tcW w:w="3096" w:type="dxa"/>
            <w:shd w:val="clear" w:color="auto" w:fill="auto"/>
          </w:tcPr>
          <w:p w14:paraId="3FBC0A8E" w14:textId="77777777" w:rsidR="002D4CCA" w:rsidRPr="00DA4A51" w:rsidRDefault="002D4CCA" w:rsidP="00F355DB">
            <w:pPr>
              <w:pStyle w:val="MediumGrid21"/>
              <w:spacing w:line="480" w:lineRule="auto"/>
              <w:rPr>
                <w:rFonts w:ascii="Arial" w:hAnsi="Arial" w:cs="Arial"/>
                <w:b/>
                <w:sz w:val="24"/>
                <w:szCs w:val="24"/>
              </w:rPr>
            </w:pPr>
          </w:p>
        </w:tc>
      </w:tr>
      <w:tr w:rsidR="002D4CCA" w:rsidRPr="00975C1A" w14:paraId="4E4227C0" w14:textId="77777777" w:rsidTr="00E67470">
        <w:tc>
          <w:tcPr>
            <w:tcW w:w="5812" w:type="dxa"/>
            <w:shd w:val="clear" w:color="auto" w:fill="auto"/>
          </w:tcPr>
          <w:p w14:paraId="5AB7068C" w14:textId="77777777" w:rsidR="002D4CCA" w:rsidRPr="00DA4A51" w:rsidRDefault="002D4CCA" w:rsidP="00F355DB">
            <w:pPr>
              <w:pStyle w:val="MediumGrid21"/>
              <w:spacing w:line="480" w:lineRule="auto"/>
              <w:rPr>
                <w:rFonts w:ascii="Arial" w:hAnsi="Arial" w:cs="Arial"/>
                <w:b/>
                <w:sz w:val="24"/>
                <w:szCs w:val="24"/>
              </w:rPr>
            </w:pPr>
          </w:p>
        </w:tc>
        <w:tc>
          <w:tcPr>
            <w:tcW w:w="3096" w:type="dxa"/>
            <w:shd w:val="clear" w:color="auto" w:fill="auto"/>
          </w:tcPr>
          <w:p w14:paraId="3A82FD74" w14:textId="77777777" w:rsidR="002D4CCA" w:rsidRPr="00DA4A51" w:rsidRDefault="002D4CCA" w:rsidP="00F355DB">
            <w:pPr>
              <w:pStyle w:val="MediumGrid21"/>
              <w:spacing w:line="480" w:lineRule="auto"/>
              <w:rPr>
                <w:rFonts w:ascii="Arial" w:hAnsi="Arial" w:cs="Arial"/>
                <w:b/>
                <w:sz w:val="24"/>
                <w:szCs w:val="24"/>
              </w:rPr>
            </w:pPr>
          </w:p>
        </w:tc>
      </w:tr>
      <w:tr w:rsidR="002D4CCA" w:rsidRPr="00975C1A" w14:paraId="4344A401" w14:textId="77777777" w:rsidTr="00E67470">
        <w:tc>
          <w:tcPr>
            <w:tcW w:w="5812" w:type="dxa"/>
            <w:shd w:val="clear" w:color="auto" w:fill="auto"/>
          </w:tcPr>
          <w:p w14:paraId="5AFBDE12" w14:textId="4E739B18" w:rsidR="002D4CCA" w:rsidRPr="00DA4A51" w:rsidRDefault="00553FEF" w:rsidP="00553FEF">
            <w:pPr>
              <w:pStyle w:val="MediumGrid21"/>
              <w:spacing w:line="480" w:lineRule="auto"/>
              <w:ind w:hanging="108"/>
              <w:rPr>
                <w:rFonts w:ascii="Arial" w:hAnsi="Arial" w:cs="Arial"/>
                <w:b/>
                <w:sz w:val="24"/>
                <w:szCs w:val="24"/>
              </w:rPr>
            </w:pPr>
            <w:r>
              <w:rPr>
                <w:rFonts w:ascii="Arial" w:hAnsi="Arial" w:cs="Arial"/>
                <w:b/>
                <w:sz w:val="24"/>
                <w:szCs w:val="24"/>
              </w:rPr>
              <w:t>D</w:t>
            </w:r>
            <w:r w:rsidR="002D4CCA" w:rsidRPr="00DA4A51">
              <w:rPr>
                <w:rFonts w:ascii="Arial" w:hAnsi="Arial" w:cs="Arial"/>
                <w:b/>
                <w:sz w:val="24"/>
                <w:szCs w:val="24"/>
              </w:rPr>
              <w:t>TA OF NAMIBIA</w:t>
            </w:r>
          </w:p>
        </w:tc>
        <w:tc>
          <w:tcPr>
            <w:tcW w:w="3096" w:type="dxa"/>
            <w:shd w:val="clear" w:color="auto" w:fill="auto"/>
          </w:tcPr>
          <w:p w14:paraId="0B8332E8" w14:textId="77777777" w:rsidR="002D4CCA" w:rsidRPr="00DA4A51" w:rsidRDefault="002D4CCA" w:rsidP="00F355DB">
            <w:pPr>
              <w:pStyle w:val="MediumGrid21"/>
              <w:spacing w:line="480" w:lineRule="auto"/>
              <w:jc w:val="right"/>
              <w:rPr>
                <w:rFonts w:ascii="Arial" w:hAnsi="Arial" w:cs="Arial"/>
                <w:b/>
                <w:sz w:val="24"/>
                <w:szCs w:val="24"/>
              </w:rPr>
            </w:pPr>
            <w:r w:rsidRPr="00DA4A51">
              <w:rPr>
                <w:rFonts w:ascii="Arial" w:hAnsi="Arial" w:cs="Arial"/>
                <w:b/>
                <w:sz w:val="24"/>
                <w:szCs w:val="24"/>
              </w:rPr>
              <w:t>Respondent</w:t>
            </w:r>
          </w:p>
        </w:tc>
      </w:tr>
    </w:tbl>
    <w:p w14:paraId="3B549D45" w14:textId="77777777" w:rsidR="002D4CCA" w:rsidRPr="00DA4A51" w:rsidRDefault="002D4CCA" w:rsidP="00F355DB">
      <w:pPr>
        <w:spacing w:line="480" w:lineRule="auto"/>
        <w:rPr>
          <w:rFonts w:ascii="Arial" w:hAnsi="Arial" w:cs="Arial"/>
        </w:rPr>
      </w:pPr>
    </w:p>
    <w:p w14:paraId="382230EA" w14:textId="77777777" w:rsidR="002D4CCA" w:rsidRPr="00DA4A51" w:rsidRDefault="002D4CCA" w:rsidP="00F355DB">
      <w:pPr>
        <w:spacing w:line="480" w:lineRule="auto"/>
        <w:rPr>
          <w:rFonts w:ascii="Arial" w:hAnsi="Arial" w:cs="Arial"/>
        </w:rPr>
      </w:pPr>
      <w:r w:rsidRPr="00DA4A51">
        <w:rPr>
          <w:rFonts w:ascii="Arial" w:hAnsi="Arial" w:cs="Arial"/>
          <w:b/>
        </w:rPr>
        <w:t>Coram:</w:t>
      </w:r>
      <w:r w:rsidRPr="00DA4A51">
        <w:rPr>
          <w:rFonts w:ascii="Arial" w:hAnsi="Arial" w:cs="Arial"/>
        </w:rPr>
        <w:tab/>
        <w:t>DAMASEB DCJ, FRANK AJA and UEITELE AJA</w:t>
      </w:r>
    </w:p>
    <w:p w14:paraId="12BB5A7A" w14:textId="77777777" w:rsidR="002D4CCA" w:rsidRPr="00DA4A51" w:rsidRDefault="002D4CCA" w:rsidP="00F355DB">
      <w:pPr>
        <w:spacing w:line="480" w:lineRule="auto"/>
        <w:rPr>
          <w:rFonts w:ascii="Arial" w:hAnsi="Arial" w:cs="Arial"/>
          <w:b/>
        </w:rPr>
      </w:pPr>
      <w:r w:rsidRPr="00DA4A51">
        <w:rPr>
          <w:rFonts w:ascii="Arial" w:hAnsi="Arial" w:cs="Arial"/>
          <w:b/>
        </w:rPr>
        <w:t>Heard:</w:t>
      </w:r>
      <w:r w:rsidRPr="00DA4A51">
        <w:rPr>
          <w:rFonts w:ascii="Arial" w:hAnsi="Arial" w:cs="Arial"/>
          <w:b/>
        </w:rPr>
        <w:tab/>
        <w:t>9 March 2022</w:t>
      </w:r>
    </w:p>
    <w:p w14:paraId="388AA927" w14:textId="21E80DAA" w:rsidR="002D4CCA" w:rsidRPr="00DA4A51" w:rsidRDefault="002D4CCA" w:rsidP="00F355DB">
      <w:pPr>
        <w:spacing w:line="480" w:lineRule="auto"/>
        <w:rPr>
          <w:rFonts w:ascii="Arial" w:hAnsi="Arial" w:cs="Arial"/>
          <w:b/>
        </w:rPr>
      </w:pPr>
      <w:r w:rsidRPr="00DA4A51">
        <w:rPr>
          <w:rFonts w:ascii="Arial" w:hAnsi="Arial" w:cs="Arial"/>
          <w:b/>
        </w:rPr>
        <w:t>Delivered:</w:t>
      </w:r>
      <w:r w:rsidRPr="00DA4A51">
        <w:rPr>
          <w:rFonts w:ascii="Arial" w:hAnsi="Arial" w:cs="Arial"/>
          <w:b/>
        </w:rPr>
        <w:tab/>
      </w:r>
      <w:r w:rsidR="0022526E">
        <w:rPr>
          <w:rFonts w:ascii="Arial" w:hAnsi="Arial" w:cs="Arial"/>
          <w:b/>
        </w:rPr>
        <w:t xml:space="preserve">30 June </w:t>
      </w:r>
      <w:r w:rsidRPr="00DA4A51">
        <w:rPr>
          <w:rFonts w:ascii="Arial" w:hAnsi="Arial" w:cs="Arial"/>
          <w:b/>
        </w:rPr>
        <w:t>2022</w:t>
      </w:r>
    </w:p>
    <w:p w14:paraId="3A8804CD" w14:textId="77777777" w:rsidR="002D4CCA" w:rsidRPr="00DA4A51" w:rsidRDefault="002D4CCA" w:rsidP="00F355DB">
      <w:pPr>
        <w:spacing w:line="480" w:lineRule="auto"/>
        <w:rPr>
          <w:rFonts w:ascii="Arial" w:hAnsi="Arial" w:cs="Arial"/>
          <w:b/>
        </w:rPr>
      </w:pPr>
    </w:p>
    <w:p w14:paraId="6F0CED71" w14:textId="7AD47DC6" w:rsidR="00B61C44" w:rsidRDefault="002D4CCA" w:rsidP="00B61C44">
      <w:pPr>
        <w:spacing w:line="360" w:lineRule="auto"/>
        <w:jc w:val="both"/>
        <w:rPr>
          <w:rFonts w:ascii="Arial" w:hAnsi="Arial" w:cs="Arial"/>
        </w:rPr>
      </w:pPr>
      <w:r w:rsidRPr="00DA4A51">
        <w:rPr>
          <w:rFonts w:ascii="Arial" w:hAnsi="Arial" w:cs="Arial"/>
          <w:b/>
        </w:rPr>
        <w:t>Summary</w:t>
      </w:r>
      <w:r w:rsidRPr="00DA4A51">
        <w:rPr>
          <w:rFonts w:ascii="Arial" w:hAnsi="Arial" w:cs="Arial"/>
        </w:rPr>
        <w:t>:</w:t>
      </w:r>
      <w:r w:rsidR="00B61C44">
        <w:rPr>
          <w:rFonts w:ascii="Arial" w:hAnsi="Arial" w:cs="Arial"/>
        </w:rPr>
        <w:t xml:space="preserve"> </w:t>
      </w:r>
      <w:r w:rsidR="00B61C44" w:rsidRPr="00DB688E">
        <w:rPr>
          <w:rFonts w:ascii="Arial" w:hAnsi="Arial" w:cs="Arial"/>
        </w:rPr>
        <w:t xml:space="preserve">The plaintiff, now respondent instituted an action against the appellants (defendants then) in the High Court </w:t>
      </w:r>
      <w:r w:rsidR="00B61C44">
        <w:rPr>
          <w:rFonts w:ascii="Arial" w:hAnsi="Arial" w:cs="Arial"/>
        </w:rPr>
        <w:t xml:space="preserve">for an </w:t>
      </w:r>
      <w:r w:rsidR="00B61C44" w:rsidRPr="00DB688E">
        <w:rPr>
          <w:rFonts w:ascii="Arial" w:hAnsi="Arial" w:cs="Arial"/>
        </w:rPr>
        <w:t xml:space="preserve">order declaring </w:t>
      </w:r>
      <w:r w:rsidR="00B61C44">
        <w:rPr>
          <w:rFonts w:ascii="Arial" w:hAnsi="Arial" w:cs="Arial"/>
        </w:rPr>
        <w:t>an</w:t>
      </w:r>
      <w:r w:rsidR="00B61C44" w:rsidRPr="00DB688E">
        <w:rPr>
          <w:rFonts w:ascii="Arial" w:hAnsi="Arial" w:cs="Arial"/>
        </w:rPr>
        <w:t xml:space="preserve"> agreement </w:t>
      </w:r>
      <w:r w:rsidR="00427D0E">
        <w:rPr>
          <w:rFonts w:ascii="Arial" w:hAnsi="Arial" w:cs="Arial"/>
        </w:rPr>
        <w:t xml:space="preserve">for the sale of </w:t>
      </w:r>
      <w:r w:rsidR="00083DFA">
        <w:rPr>
          <w:rFonts w:ascii="Arial" w:hAnsi="Arial" w:cs="Arial"/>
        </w:rPr>
        <w:t xml:space="preserve">an </w:t>
      </w:r>
      <w:r w:rsidR="00427D0E">
        <w:rPr>
          <w:rFonts w:ascii="Arial" w:hAnsi="Arial" w:cs="Arial"/>
        </w:rPr>
        <w:t xml:space="preserve">immovable property </w:t>
      </w:r>
      <w:r w:rsidR="00B61C44" w:rsidRPr="00DB688E">
        <w:rPr>
          <w:rFonts w:ascii="Arial" w:hAnsi="Arial" w:cs="Arial"/>
        </w:rPr>
        <w:t xml:space="preserve">entered into between the first appellant and respondent null </w:t>
      </w:r>
      <w:r w:rsidR="00B61C44" w:rsidRPr="00DB688E">
        <w:rPr>
          <w:rFonts w:ascii="Arial" w:hAnsi="Arial" w:cs="Arial"/>
        </w:rPr>
        <w:lastRenderedPageBreak/>
        <w:t xml:space="preserve">and </w:t>
      </w:r>
      <w:r w:rsidR="00B61C44" w:rsidRPr="0092167C">
        <w:rPr>
          <w:rFonts w:ascii="Arial" w:hAnsi="Arial" w:cs="Arial"/>
          <w:i/>
        </w:rPr>
        <w:t>void ab initio</w:t>
      </w:r>
      <w:r w:rsidR="00427D0E">
        <w:rPr>
          <w:rFonts w:ascii="Arial" w:hAnsi="Arial" w:cs="Arial"/>
          <w:i/>
        </w:rPr>
        <w:t>,</w:t>
      </w:r>
      <w:r w:rsidR="00B61C44">
        <w:rPr>
          <w:rFonts w:ascii="Arial" w:hAnsi="Arial" w:cs="Arial"/>
        </w:rPr>
        <w:t xml:space="preserve"> and </w:t>
      </w:r>
      <w:r w:rsidR="00B61C44" w:rsidRPr="00DB688E">
        <w:rPr>
          <w:rFonts w:ascii="Arial" w:hAnsi="Arial" w:cs="Arial"/>
        </w:rPr>
        <w:t xml:space="preserve">directing the re-registration of the concerned immovable property from the first appellant’s name into </w:t>
      </w:r>
      <w:r w:rsidR="00B61C44">
        <w:rPr>
          <w:rFonts w:ascii="Arial" w:hAnsi="Arial" w:cs="Arial"/>
        </w:rPr>
        <w:t>its name.</w:t>
      </w:r>
      <w:r w:rsidR="00B61C44" w:rsidRPr="00DB688E">
        <w:rPr>
          <w:rFonts w:ascii="Arial" w:hAnsi="Arial" w:cs="Arial"/>
        </w:rPr>
        <w:t xml:space="preserve"> </w:t>
      </w:r>
      <w:r w:rsidR="00B61C44">
        <w:rPr>
          <w:rFonts w:ascii="Arial" w:hAnsi="Arial" w:cs="Arial"/>
          <w:bCs/>
          <w:lang w:val="en-US"/>
        </w:rPr>
        <w:t>The second appellant</w:t>
      </w:r>
      <w:r w:rsidR="00B61C44" w:rsidRPr="0013059B">
        <w:rPr>
          <w:rFonts w:ascii="Arial" w:hAnsi="Arial" w:cs="Arial"/>
          <w:bCs/>
          <w:lang w:val="en-US"/>
        </w:rPr>
        <w:t>, purpo</w:t>
      </w:r>
      <w:r w:rsidR="00B61C44">
        <w:rPr>
          <w:rFonts w:ascii="Arial" w:hAnsi="Arial" w:cs="Arial"/>
          <w:bCs/>
          <w:lang w:val="en-US"/>
        </w:rPr>
        <w:t>rt</w:t>
      </w:r>
      <w:r w:rsidR="001D11B6">
        <w:rPr>
          <w:rFonts w:ascii="Arial" w:hAnsi="Arial" w:cs="Arial"/>
          <w:bCs/>
          <w:lang w:val="en-US"/>
        </w:rPr>
        <w:t>ing to represent the respondent</w:t>
      </w:r>
      <w:r w:rsidR="00083DFA">
        <w:rPr>
          <w:rFonts w:ascii="Arial" w:hAnsi="Arial" w:cs="Arial"/>
          <w:bCs/>
          <w:lang w:val="en-US"/>
        </w:rPr>
        <w:t>,</w:t>
      </w:r>
      <w:r w:rsidR="001D11B6">
        <w:rPr>
          <w:rFonts w:ascii="Arial" w:hAnsi="Arial" w:cs="Arial"/>
          <w:bCs/>
          <w:lang w:val="en-US"/>
        </w:rPr>
        <w:t xml:space="preserve"> </w:t>
      </w:r>
      <w:r w:rsidR="00B61C44" w:rsidRPr="0013059B">
        <w:rPr>
          <w:rFonts w:ascii="Arial" w:hAnsi="Arial" w:cs="Arial"/>
          <w:bCs/>
          <w:lang w:val="en-US"/>
        </w:rPr>
        <w:t xml:space="preserve">executed a sale </w:t>
      </w:r>
      <w:r w:rsidR="00427D0E">
        <w:rPr>
          <w:rFonts w:ascii="Arial" w:hAnsi="Arial" w:cs="Arial"/>
          <w:bCs/>
          <w:lang w:val="en-US"/>
        </w:rPr>
        <w:t>agreement in respect of which</w:t>
      </w:r>
      <w:r w:rsidR="00B61C44" w:rsidRPr="0013059B">
        <w:rPr>
          <w:rFonts w:ascii="Arial" w:hAnsi="Arial" w:cs="Arial"/>
          <w:bCs/>
          <w:lang w:val="en-US"/>
        </w:rPr>
        <w:t xml:space="preserve"> immovable property</w:t>
      </w:r>
      <w:r w:rsidR="001D11B6">
        <w:rPr>
          <w:rFonts w:ascii="Arial" w:hAnsi="Arial" w:cs="Arial"/>
          <w:bCs/>
          <w:lang w:val="en-US"/>
        </w:rPr>
        <w:t>,</w:t>
      </w:r>
      <w:r w:rsidR="00B61C44">
        <w:rPr>
          <w:rFonts w:ascii="Arial" w:hAnsi="Arial" w:cs="Arial"/>
          <w:bCs/>
          <w:lang w:val="en-US"/>
        </w:rPr>
        <w:t xml:space="preserve"> </w:t>
      </w:r>
      <w:r w:rsidR="00427D0E">
        <w:rPr>
          <w:rFonts w:ascii="Arial" w:hAnsi="Arial" w:cs="Arial"/>
          <w:bCs/>
          <w:lang w:val="en-US"/>
        </w:rPr>
        <w:t xml:space="preserve">then being leased </w:t>
      </w:r>
      <w:r w:rsidR="00B61C44">
        <w:rPr>
          <w:rFonts w:ascii="Arial" w:hAnsi="Arial" w:cs="Arial"/>
          <w:bCs/>
          <w:lang w:val="en-US"/>
        </w:rPr>
        <w:t>by the respondent was sol</w:t>
      </w:r>
      <w:r w:rsidR="00B61C44" w:rsidRPr="0013059B">
        <w:rPr>
          <w:rFonts w:ascii="Arial" w:hAnsi="Arial" w:cs="Arial"/>
          <w:bCs/>
          <w:lang w:val="en-US"/>
        </w:rPr>
        <w:t xml:space="preserve">d to the first </w:t>
      </w:r>
      <w:r w:rsidR="00B61C44">
        <w:rPr>
          <w:rFonts w:ascii="Arial" w:hAnsi="Arial" w:cs="Arial"/>
          <w:bCs/>
          <w:lang w:val="en-US"/>
        </w:rPr>
        <w:t>appellant</w:t>
      </w:r>
      <w:r w:rsidR="00B61C44" w:rsidRPr="0013059B">
        <w:rPr>
          <w:rFonts w:ascii="Arial" w:hAnsi="Arial" w:cs="Arial"/>
          <w:bCs/>
          <w:lang w:val="en-US"/>
        </w:rPr>
        <w:t xml:space="preserve">. </w:t>
      </w:r>
      <w:r w:rsidR="00B61C44" w:rsidRPr="00DB688E">
        <w:rPr>
          <w:rFonts w:ascii="Arial" w:hAnsi="Arial" w:cs="Arial"/>
        </w:rPr>
        <w:t>The respondent cl</w:t>
      </w:r>
      <w:r w:rsidR="00427D0E">
        <w:rPr>
          <w:rFonts w:ascii="Arial" w:hAnsi="Arial" w:cs="Arial"/>
        </w:rPr>
        <w:t>aimed that the second appellant</w:t>
      </w:r>
      <w:r w:rsidR="00B61C44" w:rsidRPr="00DB688E">
        <w:rPr>
          <w:rFonts w:ascii="Arial" w:hAnsi="Arial" w:cs="Arial"/>
        </w:rPr>
        <w:t xml:space="preserve"> did not </w:t>
      </w:r>
      <w:r w:rsidR="00B61C44">
        <w:rPr>
          <w:rFonts w:ascii="Arial" w:hAnsi="Arial" w:cs="Arial"/>
        </w:rPr>
        <w:t xml:space="preserve">have </w:t>
      </w:r>
      <w:r w:rsidR="00B61C44" w:rsidRPr="00DB688E">
        <w:rPr>
          <w:rFonts w:ascii="Arial" w:hAnsi="Arial" w:cs="Arial"/>
        </w:rPr>
        <w:t>authority</w:t>
      </w:r>
      <w:r w:rsidR="00B61C44">
        <w:rPr>
          <w:rFonts w:ascii="Arial" w:hAnsi="Arial" w:cs="Arial"/>
        </w:rPr>
        <w:t xml:space="preserve"> as per the party</w:t>
      </w:r>
      <w:r w:rsidR="00083DFA">
        <w:rPr>
          <w:rFonts w:ascii="Arial" w:hAnsi="Arial" w:cs="Arial"/>
        </w:rPr>
        <w:t>’s</w:t>
      </w:r>
      <w:r w:rsidR="00B61C44">
        <w:rPr>
          <w:rFonts w:ascii="Arial" w:hAnsi="Arial" w:cs="Arial"/>
        </w:rPr>
        <w:t xml:space="preserve"> constitution</w:t>
      </w:r>
      <w:r w:rsidR="00B61C44" w:rsidRPr="00DB688E">
        <w:rPr>
          <w:rFonts w:ascii="Arial" w:hAnsi="Arial" w:cs="Arial"/>
        </w:rPr>
        <w:t xml:space="preserve"> to conclude the purported agreement on its behalf. </w:t>
      </w:r>
      <w:r w:rsidR="00B61C44">
        <w:rPr>
          <w:rFonts w:ascii="Arial" w:hAnsi="Arial" w:cs="Arial"/>
        </w:rPr>
        <w:t xml:space="preserve">The first </w:t>
      </w:r>
      <w:r w:rsidR="00B61C44" w:rsidRPr="00662AE4">
        <w:rPr>
          <w:rFonts w:ascii="Arial" w:hAnsi="Arial" w:cs="Arial"/>
        </w:rPr>
        <w:t xml:space="preserve">appellant defended </w:t>
      </w:r>
      <w:r w:rsidR="00B61C44" w:rsidRPr="00DB688E">
        <w:rPr>
          <w:rFonts w:ascii="Arial" w:hAnsi="Arial" w:cs="Arial"/>
        </w:rPr>
        <w:t xml:space="preserve">the action </w:t>
      </w:r>
      <w:r w:rsidR="001D11B6">
        <w:rPr>
          <w:rFonts w:ascii="Arial" w:hAnsi="Arial" w:cs="Arial"/>
        </w:rPr>
        <w:t>and</w:t>
      </w:r>
      <w:r w:rsidR="00B61C44">
        <w:rPr>
          <w:rFonts w:ascii="Arial" w:hAnsi="Arial" w:cs="Arial"/>
        </w:rPr>
        <w:t xml:space="preserve"> </w:t>
      </w:r>
      <w:r w:rsidR="000E22B7">
        <w:rPr>
          <w:rFonts w:ascii="Arial" w:hAnsi="Arial" w:cs="Arial"/>
        </w:rPr>
        <w:t>delivered</w:t>
      </w:r>
      <w:r w:rsidR="00B61C44">
        <w:rPr>
          <w:rFonts w:ascii="Arial" w:hAnsi="Arial" w:cs="Arial"/>
        </w:rPr>
        <w:t xml:space="preserve"> a</w:t>
      </w:r>
      <w:r w:rsidR="00B61C44" w:rsidRPr="00DB688E">
        <w:rPr>
          <w:rFonts w:ascii="Arial" w:hAnsi="Arial" w:cs="Arial"/>
        </w:rPr>
        <w:t xml:space="preserve"> counterclaim</w:t>
      </w:r>
      <w:r w:rsidR="00B61C44">
        <w:rPr>
          <w:rFonts w:ascii="Arial" w:hAnsi="Arial" w:cs="Arial"/>
        </w:rPr>
        <w:t xml:space="preserve"> in which it</w:t>
      </w:r>
      <w:r w:rsidR="00B61C44" w:rsidRPr="00DB688E">
        <w:rPr>
          <w:rFonts w:ascii="Arial" w:hAnsi="Arial" w:cs="Arial"/>
        </w:rPr>
        <w:t xml:space="preserve"> </w:t>
      </w:r>
      <w:r w:rsidR="00B61C44">
        <w:rPr>
          <w:rFonts w:ascii="Arial" w:hAnsi="Arial" w:cs="Arial"/>
        </w:rPr>
        <w:t xml:space="preserve">contended that it </w:t>
      </w:r>
      <w:r w:rsidR="00B61C44" w:rsidRPr="00DB688E">
        <w:rPr>
          <w:rFonts w:ascii="Arial" w:hAnsi="Arial" w:cs="Arial"/>
        </w:rPr>
        <w:t xml:space="preserve">is a </w:t>
      </w:r>
      <w:r w:rsidR="00B61C44" w:rsidRPr="00083DFA">
        <w:rPr>
          <w:rFonts w:ascii="Arial" w:hAnsi="Arial" w:cs="Arial"/>
          <w:i/>
        </w:rPr>
        <w:t>bona fide</w:t>
      </w:r>
      <w:r w:rsidR="00B61C44" w:rsidRPr="00DB688E">
        <w:rPr>
          <w:rFonts w:ascii="Arial" w:hAnsi="Arial" w:cs="Arial"/>
        </w:rPr>
        <w:t xml:space="preserve"> purchaser and </w:t>
      </w:r>
      <w:r w:rsidR="00B61C44">
        <w:rPr>
          <w:rFonts w:ascii="Arial" w:hAnsi="Arial" w:cs="Arial"/>
        </w:rPr>
        <w:t xml:space="preserve">it </w:t>
      </w:r>
      <w:r w:rsidR="00B61C44" w:rsidRPr="00DB688E">
        <w:rPr>
          <w:rFonts w:ascii="Arial" w:hAnsi="Arial" w:cs="Arial"/>
        </w:rPr>
        <w:t xml:space="preserve">further </w:t>
      </w:r>
      <w:r w:rsidR="00B61C44">
        <w:rPr>
          <w:rFonts w:ascii="Arial" w:hAnsi="Arial" w:cs="Arial"/>
        </w:rPr>
        <w:t xml:space="preserve">claimed for monthly rental payment from the respondent for the </w:t>
      </w:r>
      <w:r w:rsidR="00B61C44" w:rsidRPr="00DB688E">
        <w:rPr>
          <w:rFonts w:ascii="Arial" w:hAnsi="Arial" w:cs="Arial"/>
        </w:rPr>
        <w:t>con</w:t>
      </w:r>
      <w:r w:rsidR="00B61C44">
        <w:rPr>
          <w:rFonts w:ascii="Arial" w:hAnsi="Arial" w:cs="Arial"/>
        </w:rPr>
        <w:t>tinued presence of the respondent on the property.</w:t>
      </w:r>
    </w:p>
    <w:p w14:paraId="5DFE009C" w14:textId="77777777" w:rsidR="00B61C44" w:rsidRDefault="00B61C44" w:rsidP="00B61C44">
      <w:pPr>
        <w:spacing w:line="360" w:lineRule="auto"/>
        <w:jc w:val="both"/>
        <w:rPr>
          <w:rFonts w:ascii="Arial" w:hAnsi="Arial" w:cs="Arial"/>
        </w:rPr>
      </w:pPr>
    </w:p>
    <w:p w14:paraId="746A448C" w14:textId="24D4AAF6" w:rsidR="00B61C44" w:rsidRDefault="00B61C44" w:rsidP="00B61C44">
      <w:pPr>
        <w:spacing w:line="360" w:lineRule="auto"/>
        <w:jc w:val="both"/>
        <w:rPr>
          <w:rFonts w:ascii="Arial" w:hAnsi="Arial" w:cs="Arial"/>
        </w:rPr>
      </w:pPr>
      <w:r>
        <w:rPr>
          <w:rFonts w:ascii="Arial" w:hAnsi="Arial" w:cs="Arial"/>
        </w:rPr>
        <w:t>T</w:t>
      </w:r>
      <w:r w:rsidRPr="00DB688E">
        <w:rPr>
          <w:rFonts w:ascii="Arial" w:hAnsi="Arial" w:cs="Arial"/>
        </w:rPr>
        <w:t xml:space="preserve">he court </w:t>
      </w:r>
      <w:r w:rsidRPr="0092167C">
        <w:rPr>
          <w:rFonts w:ascii="Arial" w:hAnsi="Arial" w:cs="Arial"/>
          <w:i/>
        </w:rPr>
        <w:t>a quo</w:t>
      </w:r>
      <w:r>
        <w:rPr>
          <w:rFonts w:ascii="Arial" w:hAnsi="Arial" w:cs="Arial"/>
        </w:rPr>
        <w:t xml:space="preserve"> </w:t>
      </w:r>
      <w:r w:rsidRPr="00DB688E">
        <w:rPr>
          <w:rFonts w:ascii="Arial" w:hAnsi="Arial" w:cs="Arial"/>
        </w:rPr>
        <w:t>granted the relief so</w:t>
      </w:r>
      <w:r>
        <w:rPr>
          <w:rFonts w:ascii="Arial" w:hAnsi="Arial" w:cs="Arial"/>
        </w:rPr>
        <w:t xml:space="preserve">ught by the respondent </w:t>
      </w:r>
      <w:r w:rsidR="000E22B7">
        <w:rPr>
          <w:rFonts w:ascii="Arial" w:hAnsi="Arial" w:cs="Arial"/>
        </w:rPr>
        <w:t xml:space="preserve">and declared </w:t>
      </w:r>
      <w:r w:rsidRPr="00DB688E">
        <w:rPr>
          <w:rFonts w:ascii="Arial" w:hAnsi="Arial" w:cs="Arial"/>
        </w:rPr>
        <w:t xml:space="preserve">the purported agreement null and </w:t>
      </w:r>
      <w:r w:rsidRPr="0092167C">
        <w:rPr>
          <w:rFonts w:ascii="Arial" w:hAnsi="Arial" w:cs="Arial"/>
          <w:i/>
        </w:rPr>
        <w:t>void ab initio</w:t>
      </w:r>
      <w:r>
        <w:rPr>
          <w:rFonts w:ascii="Arial" w:hAnsi="Arial" w:cs="Arial"/>
        </w:rPr>
        <w:t xml:space="preserve"> and ordered</w:t>
      </w:r>
      <w:r w:rsidRPr="00DB688E">
        <w:rPr>
          <w:rFonts w:ascii="Arial" w:hAnsi="Arial" w:cs="Arial"/>
        </w:rPr>
        <w:t xml:space="preserve"> the re-registration of the property in question from the first appellant’s name into th</w:t>
      </w:r>
      <w:r w:rsidR="000E22B7">
        <w:rPr>
          <w:rFonts w:ascii="Arial" w:hAnsi="Arial" w:cs="Arial"/>
        </w:rPr>
        <w:t xml:space="preserve">at of </w:t>
      </w:r>
      <w:r w:rsidRPr="00DB688E">
        <w:rPr>
          <w:rFonts w:ascii="Arial" w:hAnsi="Arial" w:cs="Arial"/>
        </w:rPr>
        <w:t>the respondent</w:t>
      </w:r>
      <w:r>
        <w:rPr>
          <w:rFonts w:ascii="Arial" w:hAnsi="Arial" w:cs="Arial"/>
        </w:rPr>
        <w:t xml:space="preserve">. </w:t>
      </w:r>
      <w:r w:rsidRPr="00DB688E">
        <w:rPr>
          <w:rFonts w:ascii="Arial" w:hAnsi="Arial" w:cs="Arial"/>
        </w:rPr>
        <w:t>It</w:t>
      </w:r>
      <w:r>
        <w:rPr>
          <w:rFonts w:ascii="Arial" w:hAnsi="Arial" w:cs="Arial"/>
        </w:rPr>
        <w:t xml:space="preserve"> held that the second appellant</w:t>
      </w:r>
      <w:r w:rsidRPr="00DB688E">
        <w:rPr>
          <w:rFonts w:ascii="Arial" w:hAnsi="Arial" w:cs="Arial"/>
        </w:rPr>
        <w:t xml:space="preserve"> had no authority to conclude the agreement on behalf of the respondent. </w:t>
      </w:r>
      <w:r>
        <w:rPr>
          <w:rFonts w:ascii="Arial" w:hAnsi="Arial" w:cs="Arial"/>
        </w:rPr>
        <w:t>The first appellant’s counterclaim was resultantly dismissed. Aggrieved by this outcome, the first appellant appealed to this court.</w:t>
      </w:r>
    </w:p>
    <w:p w14:paraId="2BD4B3EF" w14:textId="77777777" w:rsidR="00B61C44" w:rsidRDefault="00B61C44" w:rsidP="00B61C44">
      <w:pPr>
        <w:spacing w:line="360" w:lineRule="auto"/>
        <w:jc w:val="both"/>
        <w:rPr>
          <w:rFonts w:ascii="Arial" w:hAnsi="Arial" w:cs="Arial"/>
        </w:rPr>
      </w:pPr>
    </w:p>
    <w:p w14:paraId="1A07A215" w14:textId="44EA17D4" w:rsidR="00B61C44" w:rsidRDefault="00B61C44" w:rsidP="00B61C44">
      <w:pPr>
        <w:spacing w:line="360" w:lineRule="auto"/>
        <w:jc w:val="both"/>
        <w:rPr>
          <w:rFonts w:ascii="Arial" w:hAnsi="Arial" w:cs="Arial"/>
        </w:rPr>
      </w:pPr>
      <w:r>
        <w:rPr>
          <w:rFonts w:ascii="Arial" w:hAnsi="Arial" w:cs="Arial"/>
        </w:rPr>
        <w:t>On appeal</w:t>
      </w:r>
      <w:r w:rsidR="00083DFA">
        <w:rPr>
          <w:rFonts w:ascii="Arial" w:hAnsi="Arial" w:cs="Arial"/>
        </w:rPr>
        <w:t>,</w:t>
      </w:r>
      <w:r>
        <w:rPr>
          <w:rFonts w:ascii="Arial" w:hAnsi="Arial" w:cs="Arial"/>
        </w:rPr>
        <w:t xml:space="preserve"> this court </w:t>
      </w:r>
      <w:r w:rsidR="000E22B7">
        <w:rPr>
          <w:rFonts w:ascii="Arial" w:hAnsi="Arial" w:cs="Arial"/>
        </w:rPr>
        <w:t xml:space="preserve">principally considered whether on the proven and indisputable facts the first appellant could successfully invoke the doctrine of ostensible authority or the </w:t>
      </w:r>
      <w:r w:rsidR="000E22B7" w:rsidRPr="00D46C4C">
        <w:rPr>
          <w:rFonts w:ascii="Arial" w:hAnsi="Arial" w:cs="Arial"/>
          <w:i/>
        </w:rPr>
        <w:t xml:space="preserve">Turquand </w:t>
      </w:r>
      <w:r w:rsidR="000E22B7">
        <w:rPr>
          <w:rFonts w:ascii="Arial" w:hAnsi="Arial" w:cs="Arial"/>
        </w:rPr>
        <w:t xml:space="preserve">(internal management) rule so as to bind the respondent to the agreement entered into by its purported agent. </w:t>
      </w:r>
    </w:p>
    <w:p w14:paraId="31E1B355" w14:textId="77777777" w:rsidR="00B61C44" w:rsidRDefault="00B61C44" w:rsidP="00B61C44">
      <w:pPr>
        <w:spacing w:line="360" w:lineRule="auto"/>
        <w:jc w:val="both"/>
        <w:rPr>
          <w:rFonts w:ascii="Arial" w:hAnsi="Arial" w:cs="Arial"/>
        </w:rPr>
      </w:pPr>
    </w:p>
    <w:p w14:paraId="3AA98418" w14:textId="0CC6B63F" w:rsidR="00B61C44" w:rsidRDefault="00B61C44" w:rsidP="00B61C44">
      <w:pPr>
        <w:spacing w:line="360" w:lineRule="auto"/>
        <w:jc w:val="both"/>
        <w:rPr>
          <w:rFonts w:ascii="Arial" w:hAnsi="Arial" w:cs="Arial"/>
          <w:lang w:val="en-US"/>
        </w:rPr>
      </w:pPr>
      <w:r w:rsidRPr="00B40F90">
        <w:rPr>
          <w:rFonts w:ascii="Arial" w:hAnsi="Arial" w:cs="Arial"/>
          <w:i/>
          <w:lang w:val="en-US"/>
        </w:rPr>
        <w:t>Held</w:t>
      </w:r>
      <w:r>
        <w:rPr>
          <w:rFonts w:ascii="Arial" w:hAnsi="Arial" w:cs="Arial"/>
          <w:lang w:val="en-US"/>
        </w:rPr>
        <w:t>, in</w:t>
      </w:r>
      <w:r w:rsidR="000E22B7">
        <w:rPr>
          <w:rFonts w:ascii="Arial" w:hAnsi="Arial" w:cs="Arial"/>
          <w:lang w:val="en-US"/>
        </w:rPr>
        <w:t xml:space="preserve"> terms of the c</w:t>
      </w:r>
      <w:r w:rsidRPr="001666E5">
        <w:rPr>
          <w:rFonts w:ascii="Arial" w:hAnsi="Arial" w:cs="Arial"/>
          <w:lang w:val="en-US"/>
        </w:rPr>
        <w:t xml:space="preserve">onstitution of the </w:t>
      </w:r>
      <w:r>
        <w:rPr>
          <w:rFonts w:ascii="Arial" w:hAnsi="Arial" w:cs="Arial"/>
          <w:lang w:val="en-US"/>
        </w:rPr>
        <w:t>respondent</w:t>
      </w:r>
      <w:r w:rsidRPr="001666E5">
        <w:rPr>
          <w:rFonts w:ascii="Arial" w:hAnsi="Arial" w:cs="Arial"/>
          <w:lang w:val="en-US"/>
        </w:rPr>
        <w:t xml:space="preserve">, the power to alienate </w:t>
      </w:r>
      <w:r w:rsidR="000E22B7">
        <w:rPr>
          <w:rFonts w:ascii="Arial" w:hAnsi="Arial" w:cs="Arial"/>
          <w:lang w:val="en-US"/>
        </w:rPr>
        <w:t xml:space="preserve">the party’s </w:t>
      </w:r>
      <w:r w:rsidRPr="001666E5">
        <w:rPr>
          <w:rFonts w:ascii="Arial" w:hAnsi="Arial" w:cs="Arial"/>
          <w:lang w:val="en-US"/>
        </w:rPr>
        <w:t>immov</w:t>
      </w:r>
      <w:r>
        <w:rPr>
          <w:rFonts w:ascii="Arial" w:hAnsi="Arial" w:cs="Arial"/>
          <w:lang w:val="en-US"/>
        </w:rPr>
        <w:t xml:space="preserve">able property vests in </w:t>
      </w:r>
      <w:r w:rsidR="000E22B7">
        <w:rPr>
          <w:rFonts w:ascii="Arial" w:hAnsi="Arial" w:cs="Arial"/>
          <w:lang w:val="en-US"/>
        </w:rPr>
        <w:t xml:space="preserve">the top administrative organs. </w:t>
      </w:r>
      <w:r w:rsidRPr="000A57B9">
        <w:rPr>
          <w:rFonts w:ascii="Arial" w:hAnsi="Arial" w:cs="Arial"/>
          <w:lang w:val="en-US"/>
        </w:rPr>
        <w:t>The second appellant was not part of th</w:t>
      </w:r>
      <w:r w:rsidR="000E22B7">
        <w:rPr>
          <w:rFonts w:ascii="Arial" w:hAnsi="Arial" w:cs="Arial"/>
          <w:lang w:val="en-US"/>
        </w:rPr>
        <w:t xml:space="preserve">ose organs nor was he authorised </w:t>
      </w:r>
      <w:r w:rsidRPr="000A57B9">
        <w:rPr>
          <w:rFonts w:ascii="Arial" w:hAnsi="Arial" w:cs="Arial"/>
          <w:lang w:val="en-US"/>
        </w:rPr>
        <w:t xml:space="preserve">to </w:t>
      </w:r>
      <w:r w:rsidR="000E22B7">
        <w:rPr>
          <w:rFonts w:ascii="Arial" w:hAnsi="Arial" w:cs="Arial"/>
          <w:lang w:val="en-US"/>
        </w:rPr>
        <w:t xml:space="preserve">act as an agent of the party in respect of the sale of its </w:t>
      </w:r>
      <w:r w:rsidR="00083DFA">
        <w:rPr>
          <w:rFonts w:ascii="Arial" w:hAnsi="Arial" w:cs="Arial"/>
          <w:lang w:val="en-US"/>
        </w:rPr>
        <w:t>immovable</w:t>
      </w:r>
      <w:r w:rsidR="000E22B7">
        <w:rPr>
          <w:rFonts w:ascii="Arial" w:hAnsi="Arial" w:cs="Arial"/>
          <w:lang w:val="en-US"/>
        </w:rPr>
        <w:t xml:space="preserve"> property. </w:t>
      </w:r>
    </w:p>
    <w:p w14:paraId="143D59BF" w14:textId="77777777" w:rsidR="00B61C44" w:rsidRPr="000A57B9" w:rsidRDefault="00B61C44" w:rsidP="00B61C44">
      <w:pPr>
        <w:spacing w:line="360" w:lineRule="auto"/>
        <w:jc w:val="both"/>
        <w:rPr>
          <w:rFonts w:ascii="Arial" w:hAnsi="Arial" w:cs="Arial"/>
          <w:lang w:val="en-US"/>
        </w:rPr>
      </w:pPr>
    </w:p>
    <w:p w14:paraId="10A8C3BD" w14:textId="5FF79C0E" w:rsidR="00B61C44" w:rsidRDefault="00B61C44" w:rsidP="00B61C44">
      <w:pPr>
        <w:spacing w:line="360" w:lineRule="auto"/>
        <w:jc w:val="both"/>
        <w:rPr>
          <w:rFonts w:ascii="Arial" w:hAnsi="Arial" w:cs="Arial"/>
        </w:rPr>
      </w:pPr>
      <w:r w:rsidRPr="000A57B9">
        <w:rPr>
          <w:rFonts w:ascii="Arial" w:hAnsi="Arial" w:cs="Arial"/>
          <w:i/>
        </w:rPr>
        <w:t>Held</w:t>
      </w:r>
      <w:r>
        <w:rPr>
          <w:rFonts w:ascii="Arial" w:hAnsi="Arial" w:cs="Arial"/>
        </w:rPr>
        <w:t xml:space="preserve"> that</w:t>
      </w:r>
      <w:r w:rsidR="00083DFA">
        <w:rPr>
          <w:rFonts w:ascii="Arial" w:hAnsi="Arial" w:cs="Arial"/>
        </w:rPr>
        <w:t>,</w:t>
      </w:r>
      <w:r>
        <w:rPr>
          <w:rFonts w:ascii="Arial" w:hAnsi="Arial" w:cs="Arial"/>
        </w:rPr>
        <w:t xml:space="preserve"> there is no </w:t>
      </w:r>
      <w:r w:rsidR="000E22B7">
        <w:rPr>
          <w:rFonts w:ascii="Arial" w:hAnsi="Arial" w:cs="Arial"/>
        </w:rPr>
        <w:t xml:space="preserve">evidence of any kind </w:t>
      </w:r>
      <w:r>
        <w:rPr>
          <w:rFonts w:ascii="Arial" w:hAnsi="Arial" w:cs="Arial"/>
        </w:rPr>
        <w:t>presented by the first appellant</w:t>
      </w:r>
      <w:r w:rsidRPr="00400369">
        <w:rPr>
          <w:rFonts w:ascii="Arial" w:hAnsi="Arial" w:cs="Arial"/>
        </w:rPr>
        <w:t>, apart from mere verbal communications</w:t>
      </w:r>
      <w:r>
        <w:rPr>
          <w:rFonts w:ascii="Arial" w:hAnsi="Arial" w:cs="Arial"/>
        </w:rPr>
        <w:t xml:space="preserve"> with the second appellant and the other representatives who p</w:t>
      </w:r>
      <w:r w:rsidRPr="00400369">
        <w:rPr>
          <w:rFonts w:ascii="Arial" w:hAnsi="Arial" w:cs="Arial"/>
        </w:rPr>
        <w:t>urport</w:t>
      </w:r>
      <w:r w:rsidR="000E22B7">
        <w:rPr>
          <w:rFonts w:ascii="Arial" w:hAnsi="Arial" w:cs="Arial"/>
        </w:rPr>
        <w:t xml:space="preserve">ed </w:t>
      </w:r>
      <w:r w:rsidRPr="00400369">
        <w:rPr>
          <w:rFonts w:ascii="Arial" w:hAnsi="Arial" w:cs="Arial"/>
        </w:rPr>
        <w:t>to act as agents</w:t>
      </w:r>
      <w:r>
        <w:rPr>
          <w:rFonts w:ascii="Arial" w:hAnsi="Arial" w:cs="Arial"/>
        </w:rPr>
        <w:t xml:space="preserve"> of the party, </w:t>
      </w:r>
      <w:r w:rsidR="000E22B7">
        <w:rPr>
          <w:rFonts w:ascii="Arial" w:hAnsi="Arial" w:cs="Arial"/>
        </w:rPr>
        <w:t xml:space="preserve">that the respondent had authorised </w:t>
      </w:r>
      <w:r w:rsidR="002A19A2">
        <w:rPr>
          <w:rFonts w:ascii="Arial" w:hAnsi="Arial" w:cs="Arial"/>
        </w:rPr>
        <w:t xml:space="preserve">the second appellant </w:t>
      </w:r>
      <w:r w:rsidR="001D11B6">
        <w:rPr>
          <w:rFonts w:ascii="Arial" w:hAnsi="Arial" w:cs="Arial"/>
        </w:rPr>
        <w:t xml:space="preserve">to act </w:t>
      </w:r>
      <w:r w:rsidR="002A19A2">
        <w:rPr>
          <w:rFonts w:ascii="Arial" w:hAnsi="Arial" w:cs="Arial"/>
        </w:rPr>
        <w:t>on its behalf</w:t>
      </w:r>
      <w:r w:rsidRPr="00400369">
        <w:rPr>
          <w:rFonts w:ascii="Arial" w:hAnsi="Arial" w:cs="Arial"/>
        </w:rPr>
        <w:t xml:space="preserve">. </w:t>
      </w:r>
    </w:p>
    <w:p w14:paraId="3569EAD9" w14:textId="77777777" w:rsidR="00B61C44" w:rsidRDefault="00B61C44" w:rsidP="00B61C44">
      <w:pPr>
        <w:spacing w:line="360" w:lineRule="auto"/>
        <w:jc w:val="both"/>
        <w:rPr>
          <w:rFonts w:ascii="Arial" w:hAnsi="Arial" w:cs="Arial"/>
        </w:rPr>
      </w:pPr>
    </w:p>
    <w:p w14:paraId="3B6361B8" w14:textId="392AB302" w:rsidR="00B61C44" w:rsidRDefault="00B61C44" w:rsidP="00B61C44">
      <w:pPr>
        <w:spacing w:line="360" w:lineRule="auto"/>
        <w:jc w:val="both"/>
        <w:rPr>
          <w:rFonts w:ascii="Arial" w:hAnsi="Arial" w:cs="Arial"/>
          <w:iCs/>
          <w:lang w:val="en-US"/>
        </w:rPr>
      </w:pPr>
      <w:r w:rsidRPr="000A57B9">
        <w:rPr>
          <w:rFonts w:ascii="Arial" w:hAnsi="Arial" w:cs="Arial"/>
          <w:i/>
        </w:rPr>
        <w:lastRenderedPageBreak/>
        <w:t>Held</w:t>
      </w:r>
      <w:r>
        <w:rPr>
          <w:rFonts w:ascii="Arial" w:hAnsi="Arial" w:cs="Arial"/>
        </w:rPr>
        <w:t xml:space="preserve"> that</w:t>
      </w:r>
      <w:r w:rsidR="00083DFA">
        <w:rPr>
          <w:rFonts w:ascii="Arial" w:hAnsi="Arial" w:cs="Arial"/>
        </w:rPr>
        <w:t>,</w:t>
      </w:r>
      <w:r>
        <w:rPr>
          <w:rFonts w:ascii="Arial" w:hAnsi="Arial" w:cs="Arial"/>
        </w:rPr>
        <w:t xml:space="preserve"> there was further no </w:t>
      </w:r>
      <w:r w:rsidRPr="00A64D87">
        <w:rPr>
          <w:rFonts w:ascii="Arial" w:hAnsi="Arial" w:cs="Arial"/>
          <w:iCs/>
          <w:lang w:val="en-US"/>
        </w:rPr>
        <w:t xml:space="preserve">representation or </w:t>
      </w:r>
      <w:r w:rsidR="002A19A2">
        <w:rPr>
          <w:rFonts w:ascii="Arial" w:hAnsi="Arial" w:cs="Arial"/>
          <w:iCs/>
          <w:lang w:val="en-US"/>
        </w:rPr>
        <w:t xml:space="preserve">overt </w:t>
      </w:r>
      <w:r w:rsidRPr="00A64D87">
        <w:rPr>
          <w:rFonts w:ascii="Arial" w:hAnsi="Arial" w:cs="Arial"/>
          <w:iCs/>
          <w:lang w:val="en-US"/>
        </w:rPr>
        <w:t>act by those within the DTA with the power to bind it</w:t>
      </w:r>
      <w:r>
        <w:rPr>
          <w:rFonts w:ascii="Arial" w:hAnsi="Arial" w:cs="Arial"/>
          <w:iCs/>
          <w:lang w:val="en-US"/>
        </w:rPr>
        <w:t>,</w:t>
      </w:r>
      <w:r w:rsidRPr="00A64D87">
        <w:rPr>
          <w:rFonts w:ascii="Arial" w:hAnsi="Arial" w:cs="Arial"/>
          <w:iCs/>
          <w:lang w:val="en-US"/>
        </w:rPr>
        <w:t xml:space="preserve"> as to the a</w:t>
      </w:r>
      <w:r>
        <w:rPr>
          <w:rFonts w:ascii="Arial" w:hAnsi="Arial" w:cs="Arial"/>
          <w:iCs/>
          <w:lang w:val="en-US"/>
        </w:rPr>
        <w:t xml:space="preserve">uthority of the regional representatives </w:t>
      </w:r>
      <w:r w:rsidRPr="00A64D87">
        <w:rPr>
          <w:rFonts w:ascii="Arial" w:hAnsi="Arial" w:cs="Arial"/>
          <w:iCs/>
          <w:lang w:val="en-US"/>
        </w:rPr>
        <w:t>who purported to act on its behalf.</w:t>
      </w:r>
    </w:p>
    <w:p w14:paraId="6EA8B658" w14:textId="77777777" w:rsidR="00B61C44" w:rsidRDefault="00B61C44" w:rsidP="00B61C44">
      <w:pPr>
        <w:spacing w:line="360" w:lineRule="auto"/>
        <w:jc w:val="both"/>
        <w:rPr>
          <w:rFonts w:ascii="Arial" w:hAnsi="Arial" w:cs="Arial"/>
          <w:iCs/>
          <w:lang w:val="en-US"/>
        </w:rPr>
      </w:pPr>
    </w:p>
    <w:p w14:paraId="59683A64" w14:textId="552A28A7" w:rsidR="00B61C44" w:rsidRDefault="00B61C44" w:rsidP="00B61C44">
      <w:pPr>
        <w:spacing w:line="360" w:lineRule="auto"/>
        <w:jc w:val="both"/>
        <w:rPr>
          <w:rFonts w:ascii="Arial" w:hAnsi="Arial" w:cs="Arial"/>
          <w:iCs/>
          <w:lang w:val="en-US"/>
        </w:rPr>
      </w:pPr>
      <w:r w:rsidRPr="00784CDC">
        <w:rPr>
          <w:rFonts w:ascii="Arial" w:hAnsi="Arial" w:cs="Arial"/>
          <w:i/>
          <w:iCs/>
          <w:lang w:val="en-US"/>
        </w:rPr>
        <w:t>Held</w:t>
      </w:r>
      <w:r>
        <w:rPr>
          <w:rFonts w:ascii="Arial" w:hAnsi="Arial" w:cs="Arial"/>
          <w:iCs/>
          <w:lang w:val="en-US"/>
        </w:rPr>
        <w:t xml:space="preserve"> that</w:t>
      </w:r>
      <w:r w:rsidR="00083DFA">
        <w:rPr>
          <w:rFonts w:ascii="Arial" w:hAnsi="Arial" w:cs="Arial"/>
          <w:iCs/>
          <w:lang w:val="en-US"/>
        </w:rPr>
        <w:t>,</w:t>
      </w:r>
      <w:r>
        <w:rPr>
          <w:rFonts w:ascii="Arial" w:hAnsi="Arial" w:cs="Arial"/>
          <w:iCs/>
          <w:lang w:val="en-US"/>
        </w:rPr>
        <w:t xml:space="preserve"> </w:t>
      </w:r>
      <w:r w:rsidRPr="00784CDC">
        <w:rPr>
          <w:rFonts w:ascii="Arial" w:hAnsi="Arial" w:cs="Arial"/>
          <w:iCs/>
          <w:lang w:val="en-US"/>
        </w:rPr>
        <w:t>a self-serving representation by the person making it does not pass muster to engage estoppel by agency arising from ostensible authority</w:t>
      </w:r>
      <w:r w:rsidR="002A19A2">
        <w:rPr>
          <w:rFonts w:ascii="Arial" w:hAnsi="Arial" w:cs="Arial"/>
          <w:iCs/>
          <w:lang w:val="en-US"/>
        </w:rPr>
        <w:t xml:space="preserve"> or the </w:t>
      </w:r>
      <w:r w:rsidR="002A19A2" w:rsidRPr="00D46C4C">
        <w:rPr>
          <w:rFonts w:ascii="Arial" w:hAnsi="Arial" w:cs="Arial"/>
          <w:i/>
          <w:iCs/>
          <w:lang w:val="en-US"/>
        </w:rPr>
        <w:t>Turquand</w:t>
      </w:r>
      <w:r w:rsidR="002A19A2">
        <w:rPr>
          <w:rFonts w:ascii="Arial" w:hAnsi="Arial" w:cs="Arial"/>
          <w:iCs/>
          <w:lang w:val="en-US"/>
        </w:rPr>
        <w:t xml:space="preserve"> rule</w:t>
      </w:r>
      <w:r w:rsidRPr="00784CDC">
        <w:rPr>
          <w:rFonts w:ascii="Arial" w:hAnsi="Arial" w:cs="Arial"/>
          <w:iCs/>
          <w:lang w:val="en-US"/>
        </w:rPr>
        <w:t>.</w:t>
      </w:r>
    </w:p>
    <w:p w14:paraId="1820D6D3" w14:textId="77777777" w:rsidR="00B61C44" w:rsidRDefault="00B61C44" w:rsidP="00B61C44">
      <w:pPr>
        <w:spacing w:line="360" w:lineRule="auto"/>
        <w:jc w:val="both"/>
        <w:rPr>
          <w:rFonts w:ascii="Arial" w:hAnsi="Arial" w:cs="Arial"/>
          <w:lang w:val="en-US"/>
        </w:rPr>
      </w:pPr>
    </w:p>
    <w:p w14:paraId="3EDE0B69" w14:textId="13AB2D58" w:rsidR="00B61C44" w:rsidRDefault="00B61C44" w:rsidP="00B61C44">
      <w:pPr>
        <w:spacing w:line="360" w:lineRule="auto"/>
        <w:jc w:val="both"/>
        <w:rPr>
          <w:rFonts w:ascii="Arial" w:hAnsi="Arial" w:cs="Arial"/>
          <w:lang w:val="en-US"/>
        </w:rPr>
      </w:pPr>
      <w:r w:rsidRPr="009C13A7">
        <w:rPr>
          <w:rFonts w:ascii="Arial" w:hAnsi="Arial" w:cs="Arial"/>
          <w:i/>
        </w:rPr>
        <w:t>Held</w:t>
      </w:r>
      <w:r>
        <w:rPr>
          <w:rFonts w:ascii="Arial" w:hAnsi="Arial" w:cs="Arial"/>
        </w:rPr>
        <w:t xml:space="preserve"> that</w:t>
      </w:r>
      <w:r w:rsidR="00083DFA">
        <w:rPr>
          <w:rFonts w:ascii="Arial" w:hAnsi="Arial" w:cs="Arial"/>
        </w:rPr>
        <w:t>,</w:t>
      </w:r>
      <w:r>
        <w:rPr>
          <w:rFonts w:ascii="Arial" w:hAnsi="Arial" w:cs="Arial"/>
        </w:rPr>
        <w:t xml:space="preserve"> considering </w:t>
      </w:r>
      <w:r>
        <w:rPr>
          <w:rFonts w:ascii="Arial" w:hAnsi="Arial" w:cs="Arial"/>
          <w:lang w:val="en-US"/>
        </w:rPr>
        <w:t xml:space="preserve">DTA’s </w:t>
      </w:r>
      <w:r w:rsidRPr="009C13A7">
        <w:rPr>
          <w:rFonts w:ascii="Arial" w:hAnsi="Arial" w:cs="Arial"/>
          <w:lang w:val="en-US"/>
        </w:rPr>
        <w:t>uninterrupted lawful occupation of the disputed land</w:t>
      </w:r>
      <w:r w:rsidR="002A19A2">
        <w:rPr>
          <w:rFonts w:ascii="Arial" w:hAnsi="Arial" w:cs="Arial"/>
          <w:lang w:val="en-US"/>
        </w:rPr>
        <w:t xml:space="preserve"> since 1988</w:t>
      </w:r>
      <w:r w:rsidRPr="009C13A7">
        <w:rPr>
          <w:rFonts w:ascii="Arial" w:hAnsi="Arial" w:cs="Arial"/>
          <w:lang w:val="en-US"/>
        </w:rPr>
        <w:t xml:space="preserve"> under a permission to occupy </w:t>
      </w:r>
      <w:r w:rsidR="002A19A2">
        <w:rPr>
          <w:rFonts w:ascii="Arial" w:hAnsi="Arial" w:cs="Arial"/>
          <w:lang w:val="en-US"/>
        </w:rPr>
        <w:t xml:space="preserve">(PTO) </w:t>
      </w:r>
      <w:r>
        <w:rPr>
          <w:rFonts w:ascii="Arial" w:hAnsi="Arial" w:cs="Arial"/>
          <w:lang w:val="en-US"/>
        </w:rPr>
        <w:t xml:space="preserve">and the absence of any indication by it to terminate the PTO, </w:t>
      </w:r>
      <w:r w:rsidRPr="009C13A7">
        <w:rPr>
          <w:rFonts w:ascii="Arial" w:hAnsi="Arial" w:cs="Arial"/>
          <w:lang w:val="en-US"/>
        </w:rPr>
        <w:t xml:space="preserve">there </w:t>
      </w:r>
      <w:r w:rsidR="002A19A2">
        <w:rPr>
          <w:rFonts w:ascii="Arial" w:hAnsi="Arial" w:cs="Arial"/>
          <w:lang w:val="en-US"/>
        </w:rPr>
        <w:t xml:space="preserve">is </w:t>
      </w:r>
      <w:r>
        <w:rPr>
          <w:rFonts w:ascii="Arial" w:hAnsi="Arial" w:cs="Arial"/>
          <w:lang w:val="en-US"/>
        </w:rPr>
        <w:t>no reason why DTA</w:t>
      </w:r>
      <w:r w:rsidRPr="009C13A7">
        <w:rPr>
          <w:rFonts w:ascii="Arial" w:hAnsi="Arial" w:cs="Arial"/>
          <w:lang w:val="en-US"/>
        </w:rPr>
        <w:t xml:space="preserve"> could not ratify the purchase </w:t>
      </w:r>
      <w:r>
        <w:rPr>
          <w:rFonts w:ascii="Arial" w:hAnsi="Arial" w:cs="Arial"/>
          <w:lang w:val="en-US"/>
        </w:rPr>
        <w:t xml:space="preserve">of the immovable property </w:t>
      </w:r>
      <w:r w:rsidRPr="009C13A7">
        <w:rPr>
          <w:rFonts w:ascii="Arial" w:hAnsi="Arial" w:cs="Arial"/>
          <w:lang w:val="en-US"/>
        </w:rPr>
        <w:t xml:space="preserve">in its name concluded by </w:t>
      </w:r>
      <w:r>
        <w:rPr>
          <w:rFonts w:ascii="Arial" w:hAnsi="Arial" w:cs="Arial"/>
          <w:lang w:val="en-US"/>
        </w:rPr>
        <w:t>second appellant, albeit without authority.</w:t>
      </w:r>
    </w:p>
    <w:p w14:paraId="6768874F" w14:textId="77777777" w:rsidR="00B61C44" w:rsidRDefault="00B61C44" w:rsidP="00B61C44">
      <w:pPr>
        <w:spacing w:line="360" w:lineRule="auto"/>
        <w:jc w:val="both"/>
        <w:rPr>
          <w:rFonts w:ascii="Arial" w:hAnsi="Arial" w:cs="Arial"/>
          <w:lang w:val="en-US"/>
        </w:rPr>
      </w:pPr>
    </w:p>
    <w:p w14:paraId="301BC0DC" w14:textId="28F746F0" w:rsidR="00B61C44" w:rsidRDefault="00B61C44" w:rsidP="00B61C44">
      <w:pPr>
        <w:spacing w:line="360" w:lineRule="auto"/>
        <w:jc w:val="both"/>
        <w:rPr>
          <w:rFonts w:ascii="Arial" w:hAnsi="Arial" w:cs="Arial"/>
          <w:lang w:val="en-US"/>
        </w:rPr>
      </w:pPr>
      <w:r w:rsidRPr="001D11B6">
        <w:rPr>
          <w:rFonts w:ascii="Arial" w:hAnsi="Arial" w:cs="Arial"/>
          <w:i/>
          <w:lang w:val="en-US"/>
        </w:rPr>
        <w:t>Held</w:t>
      </w:r>
      <w:r>
        <w:rPr>
          <w:rFonts w:ascii="Arial" w:hAnsi="Arial" w:cs="Arial"/>
          <w:lang w:val="en-US"/>
        </w:rPr>
        <w:t xml:space="preserve"> that</w:t>
      </w:r>
      <w:r w:rsidR="00083DFA">
        <w:rPr>
          <w:rFonts w:ascii="Arial" w:hAnsi="Arial" w:cs="Arial"/>
          <w:lang w:val="en-US"/>
        </w:rPr>
        <w:t>,</w:t>
      </w:r>
      <w:r>
        <w:rPr>
          <w:rFonts w:ascii="Arial" w:hAnsi="Arial" w:cs="Arial"/>
          <w:lang w:val="en-US"/>
        </w:rPr>
        <w:t xml:space="preserve"> </w:t>
      </w:r>
      <w:r w:rsidRPr="00914FB5">
        <w:rPr>
          <w:rFonts w:ascii="Arial" w:hAnsi="Arial" w:cs="Arial"/>
          <w:lang w:val="en-US"/>
        </w:rPr>
        <w:t>the two agreements are separate juridical</w:t>
      </w:r>
      <w:r>
        <w:rPr>
          <w:rFonts w:ascii="Arial" w:hAnsi="Arial" w:cs="Arial"/>
          <w:lang w:val="en-US"/>
        </w:rPr>
        <w:t xml:space="preserve"> acts and </w:t>
      </w:r>
      <w:r w:rsidR="002A19A2">
        <w:rPr>
          <w:rFonts w:ascii="Arial" w:hAnsi="Arial" w:cs="Arial"/>
          <w:lang w:val="en-US"/>
        </w:rPr>
        <w:t xml:space="preserve">one </w:t>
      </w:r>
      <w:r w:rsidRPr="00914FB5">
        <w:rPr>
          <w:rFonts w:ascii="Arial" w:hAnsi="Arial" w:cs="Arial"/>
          <w:lang w:val="en-US"/>
        </w:rPr>
        <w:t xml:space="preserve">did not depend on the existence of the other </w:t>
      </w:r>
      <w:r>
        <w:rPr>
          <w:rFonts w:ascii="Arial" w:hAnsi="Arial" w:cs="Arial"/>
          <w:lang w:val="en-US"/>
        </w:rPr>
        <w:t xml:space="preserve">for </w:t>
      </w:r>
      <w:r w:rsidR="002A19A2">
        <w:rPr>
          <w:rFonts w:ascii="Arial" w:hAnsi="Arial" w:cs="Arial"/>
          <w:lang w:val="en-US"/>
        </w:rPr>
        <w:t>its</w:t>
      </w:r>
      <w:r w:rsidRPr="00914FB5">
        <w:rPr>
          <w:rFonts w:ascii="Arial" w:hAnsi="Arial" w:cs="Arial"/>
          <w:lang w:val="en-US"/>
        </w:rPr>
        <w:t xml:space="preserve"> validity and enforceability</w:t>
      </w:r>
      <w:r>
        <w:rPr>
          <w:rFonts w:ascii="Arial" w:hAnsi="Arial" w:cs="Arial"/>
          <w:lang w:val="en-US"/>
        </w:rPr>
        <w:t>.</w:t>
      </w:r>
    </w:p>
    <w:p w14:paraId="33C285A0" w14:textId="77777777" w:rsidR="00B61C44" w:rsidRDefault="00B61C44" w:rsidP="00B61C44">
      <w:pPr>
        <w:spacing w:line="360" w:lineRule="auto"/>
        <w:jc w:val="both"/>
        <w:rPr>
          <w:rFonts w:ascii="Arial" w:hAnsi="Arial" w:cs="Arial"/>
          <w:lang w:val="en-US"/>
        </w:rPr>
      </w:pPr>
    </w:p>
    <w:p w14:paraId="488D0C76" w14:textId="3DB61F3D" w:rsidR="00B61C44" w:rsidRDefault="00B61C44" w:rsidP="00B61C44">
      <w:pPr>
        <w:spacing w:line="360" w:lineRule="auto"/>
        <w:jc w:val="both"/>
        <w:rPr>
          <w:rFonts w:ascii="Arial" w:hAnsi="Arial" w:cs="Arial"/>
          <w:lang w:val="en-US"/>
        </w:rPr>
      </w:pPr>
      <w:r w:rsidRPr="00914FB5">
        <w:rPr>
          <w:rFonts w:ascii="Arial" w:hAnsi="Arial" w:cs="Arial"/>
          <w:i/>
        </w:rPr>
        <w:t>Held</w:t>
      </w:r>
      <w:r w:rsidRPr="00914FB5">
        <w:rPr>
          <w:rFonts w:ascii="Arial" w:hAnsi="Arial" w:cs="Arial"/>
        </w:rPr>
        <w:t xml:space="preserve"> that</w:t>
      </w:r>
      <w:r w:rsidR="00F77AC7">
        <w:rPr>
          <w:rFonts w:ascii="Arial" w:hAnsi="Arial" w:cs="Arial"/>
        </w:rPr>
        <w:t>,</w:t>
      </w:r>
      <w:r w:rsidRPr="00914FB5">
        <w:rPr>
          <w:rFonts w:ascii="Arial" w:hAnsi="Arial" w:cs="Arial"/>
        </w:rPr>
        <w:t xml:space="preserve"> the first </w:t>
      </w:r>
      <w:r>
        <w:rPr>
          <w:rFonts w:ascii="Arial" w:hAnsi="Arial" w:cs="Arial"/>
        </w:rPr>
        <w:t>appellant did not</w:t>
      </w:r>
      <w:r w:rsidRPr="00914FB5">
        <w:rPr>
          <w:rFonts w:ascii="Arial" w:hAnsi="Arial" w:cs="Arial"/>
        </w:rPr>
        <w:t xml:space="preserve"> </w:t>
      </w:r>
      <w:r w:rsidRPr="00914FB5">
        <w:rPr>
          <w:rFonts w:ascii="Arial" w:hAnsi="Arial" w:cs="Arial"/>
          <w:lang w:val="en-US"/>
        </w:rPr>
        <w:t>make out a case for restitution</w:t>
      </w:r>
      <w:r>
        <w:rPr>
          <w:rFonts w:ascii="Arial" w:hAnsi="Arial" w:cs="Arial"/>
          <w:lang w:val="en-US"/>
        </w:rPr>
        <w:t xml:space="preserve"> by the respondent</w:t>
      </w:r>
      <w:r w:rsidRPr="00914FB5">
        <w:rPr>
          <w:rFonts w:ascii="Arial" w:hAnsi="Arial" w:cs="Arial"/>
          <w:lang w:val="en-US"/>
        </w:rPr>
        <w:t>.</w:t>
      </w:r>
    </w:p>
    <w:p w14:paraId="6623F3B1" w14:textId="77777777" w:rsidR="00B61C44" w:rsidRDefault="00B61C44" w:rsidP="00B61C44">
      <w:pPr>
        <w:spacing w:line="360" w:lineRule="auto"/>
        <w:jc w:val="both"/>
        <w:rPr>
          <w:rFonts w:ascii="Arial" w:hAnsi="Arial" w:cs="Arial"/>
          <w:lang w:val="en-US"/>
        </w:rPr>
      </w:pPr>
    </w:p>
    <w:p w14:paraId="0C48AB90" w14:textId="7A0B3971" w:rsidR="00B61C44" w:rsidRDefault="00B61C44" w:rsidP="00B61C44">
      <w:pPr>
        <w:spacing w:line="360" w:lineRule="auto"/>
        <w:jc w:val="both"/>
        <w:rPr>
          <w:rFonts w:ascii="Arial" w:hAnsi="Arial" w:cs="Arial"/>
          <w:lang w:val="en-US"/>
        </w:rPr>
      </w:pPr>
      <w:r w:rsidRPr="00914FB5">
        <w:rPr>
          <w:rFonts w:ascii="Arial" w:hAnsi="Arial" w:cs="Arial"/>
          <w:i/>
          <w:lang w:val="en-US"/>
        </w:rPr>
        <w:t xml:space="preserve">Held </w:t>
      </w:r>
      <w:r>
        <w:rPr>
          <w:rFonts w:ascii="Arial" w:hAnsi="Arial" w:cs="Arial"/>
          <w:lang w:val="en-US"/>
        </w:rPr>
        <w:t>that</w:t>
      </w:r>
      <w:r w:rsidR="00083DFA">
        <w:rPr>
          <w:rFonts w:ascii="Arial" w:hAnsi="Arial" w:cs="Arial"/>
          <w:lang w:val="en-US"/>
        </w:rPr>
        <w:t>,</w:t>
      </w:r>
      <w:r>
        <w:rPr>
          <w:rFonts w:ascii="Arial" w:hAnsi="Arial" w:cs="Arial"/>
          <w:lang w:val="en-US"/>
        </w:rPr>
        <w:t xml:space="preserve"> the court </w:t>
      </w:r>
      <w:r w:rsidRPr="00914FB5">
        <w:rPr>
          <w:rFonts w:ascii="Arial" w:hAnsi="Arial" w:cs="Arial"/>
          <w:i/>
          <w:lang w:val="en-US"/>
        </w:rPr>
        <w:t>a quo’s</w:t>
      </w:r>
      <w:r w:rsidRPr="00914FB5">
        <w:rPr>
          <w:rFonts w:ascii="Arial" w:hAnsi="Arial" w:cs="Arial"/>
          <w:lang w:val="en-US"/>
        </w:rPr>
        <w:t xml:space="preserve"> conclusion that </w:t>
      </w:r>
      <w:r w:rsidRPr="00914FB5">
        <w:rPr>
          <w:rFonts w:ascii="Arial" w:hAnsi="Arial" w:cs="Arial"/>
          <w:i/>
          <w:lang w:val="en-US"/>
        </w:rPr>
        <w:t>s</w:t>
      </w:r>
      <w:r w:rsidR="00083DFA">
        <w:rPr>
          <w:rFonts w:ascii="Arial" w:hAnsi="Arial" w:cs="Arial"/>
          <w:i/>
          <w:lang w:val="en-US"/>
        </w:rPr>
        <w:t xml:space="preserve"> 97</w:t>
      </w:r>
      <w:r w:rsidRPr="00914FB5">
        <w:rPr>
          <w:rFonts w:ascii="Arial" w:hAnsi="Arial" w:cs="Arial"/>
          <w:i/>
          <w:lang w:val="en-US"/>
        </w:rPr>
        <w:t>(1)</w:t>
      </w:r>
      <w:r w:rsidRPr="00914FB5">
        <w:rPr>
          <w:rFonts w:ascii="Arial" w:hAnsi="Arial" w:cs="Arial"/>
          <w:lang w:val="en-US"/>
        </w:rPr>
        <w:t xml:space="preserve"> of the </w:t>
      </w:r>
      <w:r w:rsidRPr="00083DFA">
        <w:rPr>
          <w:rFonts w:ascii="Arial" w:hAnsi="Arial" w:cs="Arial"/>
          <w:lang w:val="en-US"/>
        </w:rPr>
        <w:t>Deeds Registries Act 47 of 1937</w:t>
      </w:r>
      <w:r>
        <w:rPr>
          <w:rFonts w:ascii="Arial" w:hAnsi="Arial" w:cs="Arial"/>
          <w:i/>
          <w:lang w:val="en-US"/>
        </w:rPr>
        <w:t xml:space="preserve"> </w:t>
      </w:r>
      <w:r w:rsidRPr="00914FB5">
        <w:rPr>
          <w:rFonts w:ascii="Arial" w:hAnsi="Arial" w:cs="Arial"/>
          <w:lang w:val="en-US"/>
        </w:rPr>
        <w:t xml:space="preserve">is peremptory is </w:t>
      </w:r>
      <w:r w:rsidR="002A19A2">
        <w:rPr>
          <w:rFonts w:ascii="Arial" w:hAnsi="Arial" w:cs="Arial"/>
          <w:lang w:val="en-US"/>
        </w:rPr>
        <w:t>erroneous.</w:t>
      </w:r>
    </w:p>
    <w:p w14:paraId="5AEA7A1E" w14:textId="77777777" w:rsidR="00B61C44" w:rsidRPr="00F05DF8" w:rsidRDefault="00B61C44" w:rsidP="00B61C44">
      <w:pPr>
        <w:spacing w:line="360" w:lineRule="auto"/>
        <w:jc w:val="both"/>
        <w:rPr>
          <w:rFonts w:ascii="Arial" w:hAnsi="Arial" w:cs="Arial"/>
          <w:lang w:val="en-US"/>
        </w:rPr>
      </w:pPr>
    </w:p>
    <w:p w14:paraId="705BC3B0" w14:textId="23ABF1B1" w:rsidR="00B61C44" w:rsidRPr="00F05DF8" w:rsidRDefault="002A19A2" w:rsidP="00B61C44">
      <w:pPr>
        <w:spacing w:line="360" w:lineRule="auto"/>
        <w:jc w:val="both"/>
        <w:rPr>
          <w:rFonts w:ascii="Arial" w:hAnsi="Arial" w:cs="Arial"/>
          <w:lang w:val="en-US"/>
        </w:rPr>
      </w:pPr>
      <w:r>
        <w:rPr>
          <w:rFonts w:ascii="Arial" w:hAnsi="Arial" w:cs="Arial"/>
          <w:lang w:val="en-US"/>
        </w:rPr>
        <w:t>A</w:t>
      </w:r>
      <w:r w:rsidR="00B61C44" w:rsidRPr="00F05DF8">
        <w:rPr>
          <w:rFonts w:ascii="Arial" w:hAnsi="Arial" w:cs="Arial"/>
          <w:lang w:val="en-US"/>
        </w:rPr>
        <w:t>ppeal dismissed with costs.</w:t>
      </w:r>
    </w:p>
    <w:p w14:paraId="0B6F1B45" w14:textId="77777777" w:rsidR="00B61C44" w:rsidRPr="00DB688E" w:rsidRDefault="00B61C44" w:rsidP="00083DFA">
      <w:pPr>
        <w:spacing w:line="276" w:lineRule="auto"/>
        <w:jc w:val="both"/>
        <w:rPr>
          <w:rFonts w:ascii="Arial" w:hAnsi="Arial" w:cs="Arial"/>
        </w:rPr>
      </w:pPr>
    </w:p>
    <w:p w14:paraId="714476A9" w14:textId="77777777" w:rsidR="002D4CCA" w:rsidRPr="00DA4A51" w:rsidRDefault="002D4CCA" w:rsidP="00083DFA">
      <w:pPr>
        <w:pBdr>
          <w:top w:val="single" w:sz="4" w:space="1" w:color="auto"/>
        </w:pBdr>
        <w:spacing w:line="276" w:lineRule="auto"/>
        <w:jc w:val="both"/>
        <w:rPr>
          <w:rFonts w:ascii="Arial" w:hAnsi="Arial" w:cs="Arial"/>
        </w:rPr>
      </w:pPr>
    </w:p>
    <w:p w14:paraId="6A893797" w14:textId="7C87B942" w:rsidR="002D4CCA" w:rsidRPr="007E16E4" w:rsidRDefault="002D4CCA" w:rsidP="00083DFA">
      <w:pPr>
        <w:pBdr>
          <w:bottom w:val="single" w:sz="4" w:space="0" w:color="auto"/>
        </w:pBdr>
        <w:spacing w:line="276" w:lineRule="auto"/>
        <w:jc w:val="center"/>
        <w:rPr>
          <w:rFonts w:ascii="Arial" w:hAnsi="Arial" w:cs="Arial"/>
        </w:rPr>
      </w:pPr>
      <w:r w:rsidRPr="00DA4A51">
        <w:rPr>
          <w:rFonts w:ascii="Arial" w:hAnsi="Arial" w:cs="Arial"/>
          <w:b/>
        </w:rPr>
        <w:t xml:space="preserve">APPEAL </w:t>
      </w:r>
      <w:r w:rsidRPr="0022526E">
        <w:rPr>
          <w:rFonts w:ascii="Arial" w:hAnsi="Arial" w:cs="Arial"/>
          <w:b/>
        </w:rPr>
        <w:t>JUDGMENT</w:t>
      </w:r>
      <w:r w:rsidRPr="007E16E4">
        <w:rPr>
          <w:rFonts w:ascii="Arial" w:hAnsi="Arial" w:cs="Arial"/>
        </w:rPr>
        <w:t xml:space="preserve"> </w:t>
      </w:r>
    </w:p>
    <w:p w14:paraId="1C00CDB7" w14:textId="77777777" w:rsidR="007E16E4" w:rsidRPr="00DA4A51" w:rsidRDefault="007E16E4" w:rsidP="00083DFA">
      <w:pPr>
        <w:pBdr>
          <w:bottom w:val="single" w:sz="4" w:space="0" w:color="auto"/>
        </w:pBdr>
        <w:spacing w:line="276" w:lineRule="auto"/>
        <w:jc w:val="center"/>
        <w:rPr>
          <w:rFonts w:ascii="Arial" w:hAnsi="Arial" w:cs="Arial"/>
          <w:b/>
        </w:rPr>
      </w:pPr>
    </w:p>
    <w:p w14:paraId="0156DDA7" w14:textId="77777777" w:rsidR="0054754B" w:rsidRDefault="0054754B" w:rsidP="00083DFA">
      <w:pPr>
        <w:spacing w:line="480" w:lineRule="auto"/>
        <w:jc w:val="both"/>
        <w:rPr>
          <w:rFonts w:ascii="Arial" w:hAnsi="Arial" w:cs="Arial"/>
          <w:lang w:val="en-US"/>
        </w:rPr>
      </w:pPr>
    </w:p>
    <w:p w14:paraId="39556A21" w14:textId="3957BE88" w:rsidR="002D4CCA" w:rsidRPr="00DA4A51" w:rsidRDefault="002D4CCA" w:rsidP="00083DFA">
      <w:pPr>
        <w:spacing w:line="480" w:lineRule="auto"/>
        <w:jc w:val="both"/>
        <w:rPr>
          <w:rFonts w:ascii="Arial" w:hAnsi="Arial" w:cs="Arial"/>
          <w:lang w:val="en-US"/>
        </w:rPr>
      </w:pPr>
      <w:r>
        <w:rPr>
          <w:rFonts w:ascii="Arial" w:hAnsi="Arial" w:cs="Arial"/>
          <w:lang w:val="en-US"/>
        </w:rPr>
        <w:t xml:space="preserve">DAMASEB </w:t>
      </w:r>
      <w:r w:rsidRPr="00DA4A51">
        <w:rPr>
          <w:rFonts w:ascii="Arial" w:hAnsi="Arial" w:cs="Arial"/>
          <w:lang w:val="en-US"/>
        </w:rPr>
        <w:t>DCJ</w:t>
      </w:r>
      <w:r>
        <w:rPr>
          <w:rFonts w:ascii="Arial" w:hAnsi="Arial" w:cs="Arial"/>
          <w:lang w:val="en-US"/>
        </w:rPr>
        <w:t xml:space="preserve"> (</w:t>
      </w:r>
      <w:r w:rsidRPr="00DA4A51">
        <w:rPr>
          <w:rFonts w:ascii="Arial" w:hAnsi="Arial" w:cs="Arial"/>
        </w:rPr>
        <w:t>FRANK AJA and UEITELE AJA</w:t>
      </w:r>
      <w:r w:rsidR="0054754B">
        <w:rPr>
          <w:rFonts w:ascii="Arial" w:hAnsi="Arial" w:cs="Arial"/>
        </w:rPr>
        <w:t xml:space="preserve"> concurring):</w:t>
      </w:r>
    </w:p>
    <w:p w14:paraId="0D80B1A3" w14:textId="77777777" w:rsidR="002D4CCA" w:rsidRDefault="002D4CCA" w:rsidP="00F355DB">
      <w:pPr>
        <w:pStyle w:val="ListParagraph"/>
        <w:spacing w:line="480" w:lineRule="auto"/>
        <w:ind w:left="0"/>
        <w:jc w:val="both"/>
        <w:rPr>
          <w:rFonts w:ascii="Arial" w:hAnsi="Arial" w:cs="Arial"/>
          <w:lang w:val="en-ZA"/>
        </w:rPr>
      </w:pPr>
    </w:p>
    <w:p w14:paraId="72786A05" w14:textId="4405C2C1" w:rsidR="0080796E" w:rsidRPr="0080796E" w:rsidRDefault="00EB35DB" w:rsidP="0080796E">
      <w:pPr>
        <w:pStyle w:val="NoSpacing"/>
        <w:numPr>
          <w:ilvl w:val="0"/>
          <w:numId w:val="7"/>
        </w:numPr>
        <w:spacing w:line="480" w:lineRule="auto"/>
        <w:ind w:left="0" w:firstLine="0"/>
        <w:jc w:val="both"/>
        <w:rPr>
          <w:rFonts w:ascii="Arial" w:eastAsia="Calibri" w:hAnsi="Arial" w:cs="Arial"/>
          <w:sz w:val="24"/>
          <w:szCs w:val="24"/>
          <w:lang w:val="en-US"/>
        </w:rPr>
      </w:pPr>
      <w:r w:rsidRPr="0080796E">
        <w:rPr>
          <w:rFonts w:ascii="Arial" w:eastAsia="Calibri" w:hAnsi="Arial" w:cs="Arial"/>
          <w:sz w:val="24"/>
          <w:szCs w:val="24"/>
          <w:lang w:val="en-US"/>
        </w:rPr>
        <w:t xml:space="preserve">This appeal concerns </w:t>
      </w:r>
      <w:r w:rsidR="002A19A2">
        <w:rPr>
          <w:rFonts w:ascii="Arial" w:eastAsia="Calibri" w:hAnsi="Arial" w:cs="Arial"/>
          <w:sz w:val="24"/>
          <w:szCs w:val="24"/>
          <w:lang w:val="en-US"/>
        </w:rPr>
        <w:t>the</w:t>
      </w:r>
      <w:r w:rsidRPr="0080796E">
        <w:rPr>
          <w:rFonts w:ascii="Arial" w:eastAsia="Calibri" w:hAnsi="Arial" w:cs="Arial"/>
          <w:sz w:val="24"/>
          <w:szCs w:val="24"/>
          <w:lang w:val="en-US"/>
        </w:rPr>
        <w:t xml:space="preserve"> sale of an immovable property </w:t>
      </w:r>
      <w:r w:rsidR="0080796E" w:rsidRPr="0080796E">
        <w:rPr>
          <w:rFonts w:ascii="Arial" w:eastAsia="Calibri" w:hAnsi="Arial" w:cs="Arial"/>
          <w:sz w:val="24"/>
          <w:szCs w:val="24"/>
          <w:lang w:val="en-US"/>
        </w:rPr>
        <w:t xml:space="preserve">gone awry. It involves admitted </w:t>
      </w:r>
      <w:r w:rsidRPr="0080796E">
        <w:rPr>
          <w:rFonts w:ascii="Arial" w:eastAsia="Calibri" w:hAnsi="Arial" w:cs="Arial"/>
          <w:sz w:val="24"/>
          <w:szCs w:val="24"/>
          <w:lang w:val="en-US"/>
        </w:rPr>
        <w:t xml:space="preserve">fraud perpetrated against the Receiver of Revenue by parties to </w:t>
      </w:r>
      <w:r w:rsidR="002A19A2">
        <w:rPr>
          <w:rFonts w:ascii="Arial" w:eastAsia="Calibri" w:hAnsi="Arial" w:cs="Arial"/>
          <w:sz w:val="24"/>
          <w:szCs w:val="24"/>
          <w:lang w:val="en-US"/>
        </w:rPr>
        <w:t>an</w:t>
      </w:r>
      <w:r w:rsidRPr="0080796E">
        <w:rPr>
          <w:rFonts w:ascii="Arial" w:eastAsia="Calibri" w:hAnsi="Arial" w:cs="Arial"/>
          <w:sz w:val="24"/>
          <w:szCs w:val="24"/>
          <w:lang w:val="en-US"/>
        </w:rPr>
        <w:t xml:space="preserve"> </w:t>
      </w:r>
      <w:r w:rsidRPr="0080796E">
        <w:rPr>
          <w:rFonts w:ascii="Arial" w:eastAsia="Calibri" w:hAnsi="Arial" w:cs="Arial"/>
          <w:sz w:val="24"/>
          <w:szCs w:val="24"/>
          <w:lang w:val="en-US"/>
        </w:rPr>
        <w:lastRenderedPageBreak/>
        <w:t xml:space="preserve">agreement for the sale of </w:t>
      </w:r>
      <w:r w:rsidR="00083DFA">
        <w:rPr>
          <w:rFonts w:ascii="Arial" w:eastAsia="Calibri" w:hAnsi="Arial" w:cs="Arial"/>
          <w:sz w:val="24"/>
          <w:szCs w:val="24"/>
          <w:lang w:val="en-US"/>
        </w:rPr>
        <w:t>immovable</w:t>
      </w:r>
      <w:r w:rsidRPr="0080796E">
        <w:rPr>
          <w:rFonts w:ascii="Arial" w:eastAsia="Calibri" w:hAnsi="Arial" w:cs="Arial"/>
          <w:sz w:val="24"/>
          <w:szCs w:val="24"/>
          <w:lang w:val="en-US"/>
        </w:rPr>
        <w:t xml:space="preserve"> property and alleged fraud on the </w:t>
      </w:r>
      <w:r w:rsidR="002A19A2">
        <w:rPr>
          <w:rFonts w:ascii="Arial" w:eastAsia="Calibri" w:hAnsi="Arial" w:cs="Arial"/>
          <w:sz w:val="24"/>
          <w:szCs w:val="24"/>
          <w:lang w:val="en-US"/>
        </w:rPr>
        <w:t xml:space="preserve">purported </w:t>
      </w:r>
      <w:r w:rsidRPr="0080796E">
        <w:rPr>
          <w:rFonts w:ascii="Arial" w:eastAsia="Calibri" w:hAnsi="Arial" w:cs="Arial"/>
          <w:sz w:val="24"/>
          <w:szCs w:val="24"/>
          <w:lang w:val="en-US"/>
        </w:rPr>
        <w:t>seller by person(s) purporting to act on its behalf.</w:t>
      </w:r>
    </w:p>
    <w:p w14:paraId="09948995" w14:textId="77777777" w:rsidR="00EB35DB" w:rsidRPr="00DA4A51" w:rsidRDefault="00EB35DB" w:rsidP="00F355DB">
      <w:pPr>
        <w:spacing w:line="480" w:lineRule="auto"/>
        <w:jc w:val="both"/>
        <w:rPr>
          <w:rFonts w:ascii="Arial" w:hAnsi="Arial" w:cs="Arial"/>
          <w:lang w:val="en-US"/>
        </w:rPr>
      </w:pPr>
    </w:p>
    <w:p w14:paraId="226EBF7F" w14:textId="53FC37A4" w:rsidR="00EB35DB" w:rsidRPr="0080796E" w:rsidRDefault="00E13155" w:rsidP="0080796E">
      <w:pPr>
        <w:pStyle w:val="NoSpacing"/>
        <w:numPr>
          <w:ilvl w:val="0"/>
          <w:numId w:val="7"/>
        </w:numPr>
        <w:spacing w:line="480" w:lineRule="auto"/>
        <w:ind w:left="0" w:firstLine="0"/>
        <w:jc w:val="both"/>
        <w:rPr>
          <w:rFonts w:ascii="Arial" w:hAnsi="Arial" w:cs="Arial"/>
          <w:sz w:val="24"/>
          <w:szCs w:val="24"/>
          <w:lang w:val="en-US"/>
        </w:rPr>
      </w:pPr>
      <w:r w:rsidRPr="0080796E">
        <w:rPr>
          <w:rFonts w:ascii="Arial" w:hAnsi="Arial" w:cs="Arial"/>
          <w:sz w:val="24"/>
          <w:szCs w:val="24"/>
          <w:lang w:val="en-US"/>
        </w:rPr>
        <w:t>The</w:t>
      </w:r>
      <w:r w:rsidR="00EB35DB" w:rsidRPr="0080796E">
        <w:rPr>
          <w:rFonts w:ascii="Arial" w:hAnsi="Arial" w:cs="Arial"/>
          <w:sz w:val="24"/>
          <w:szCs w:val="24"/>
          <w:lang w:val="en-US"/>
        </w:rPr>
        <w:t xml:space="preserve"> first appellant</w:t>
      </w:r>
      <w:r w:rsidR="002A19A2">
        <w:rPr>
          <w:rFonts w:ascii="Arial" w:hAnsi="Arial" w:cs="Arial"/>
          <w:sz w:val="24"/>
          <w:szCs w:val="24"/>
          <w:lang w:val="en-US"/>
        </w:rPr>
        <w:t>,</w:t>
      </w:r>
      <w:r w:rsidR="00EB35DB" w:rsidRPr="0080796E">
        <w:rPr>
          <w:rFonts w:ascii="Arial" w:hAnsi="Arial" w:cs="Arial"/>
          <w:sz w:val="24"/>
          <w:szCs w:val="24"/>
          <w:lang w:val="en-US"/>
        </w:rPr>
        <w:t xml:space="preserve"> </w:t>
      </w:r>
      <w:r w:rsidR="00584C1A" w:rsidRPr="0080796E">
        <w:rPr>
          <w:rFonts w:ascii="Arial" w:hAnsi="Arial" w:cs="Arial"/>
          <w:sz w:val="24"/>
          <w:szCs w:val="24"/>
          <w:lang w:val="en-US"/>
        </w:rPr>
        <w:t>River View</w:t>
      </w:r>
      <w:r w:rsidR="00584C1A">
        <w:rPr>
          <w:rFonts w:ascii="Arial" w:hAnsi="Arial" w:cs="Arial"/>
          <w:sz w:val="24"/>
          <w:szCs w:val="24"/>
          <w:lang w:val="en-US"/>
        </w:rPr>
        <w:t xml:space="preserve"> Estate CC</w:t>
      </w:r>
      <w:r w:rsidR="00584C1A" w:rsidRPr="0080796E">
        <w:rPr>
          <w:rFonts w:ascii="Arial" w:hAnsi="Arial" w:cs="Arial"/>
          <w:sz w:val="24"/>
          <w:szCs w:val="24"/>
          <w:lang w:val="en-US"/>
        </w:rPr>
        <w:t xml:space="preserve"> </w:t>
      </w:r>
      <w:r w:rsidR="00EB35DB" w:rsidRPr="0080796E">
        <w:rPr>
          <w:rFonts w:ascii="Arial" w:hAnsi="Arial" w:cs="Arial"/>
          <w:sz w:val="24"/>
          <w:szCs w:val="24"/>
          <w:lang w:val="en-US"/>
        </w:rPr>
        <w:t>(River View)</w:t>
      </w:r>
      <w:r w:rsidR="00F622B9" w:rsidRPr="0080796E">
        <w:rPr>
          <w:rFonts w:ascii="Arial" w:hAnsi="Arial" w:cs="Arial"/>
          <w:sz w:val="24"/>
          <w:szCs w:val="24"/>
          <w:lang w:val="en-US"/>
        </w:rPr>
        <w:t>,</w:t>
      </w:r>
      <w:r w:rsidR="00C7693A" w:rsidRPr="0080796E">
        <w:rPr>
          <w:rFonts w:ascii="Arial" w:hAnsi="Arial" w:cs="Arial"/>
          <w:sz w:val="24"/>
          <w:szCs w:val="24"/>
          <w:lang w:val="en-US"/>
        </w:rPr>
        <w:t xml:space="preserve"> a close corporation</w:t>
      </w:r>
      <w:r w:rsidR="00EB35DB" w:rsidRPr="0080796E">
        <w:rPr>
          <w:rFonts w:ascii="Arial" w:hAnsi="Arial" w:cs="Arial"/>
          <w:sz w:val="24"/>
          <w:szCs w:val="24"/>
          <w:lang w:val="en-US"/>
        </w:rPr>
        <w:t xml:space="preserve"> represented by </w:t>
      </w:r>
      <w:r w:rsidR="00E44FD1" w:rsidRPr="0080796E">
        <w:rPr>
          <w:rFonts w:ascii="Arial" w:hAnsi="Arial" w:cs="Arial"/>
          <w:sz w:val="24"/>
          <w:szCs w:val="24"/>
          <w:lang w:val="en-US"/>
        </w:rPr>
        <w:t xml:space="preserve">its sole member, </w:t>
      </w:r>
      <w:r w:rsidR="00EB35DB" w:rsidRPr="0080796E">
        <w:rPr>
          <w:rFonts w:ascii="Arial" w:hAnsi="Arial" w:cs="Arial"/>
          <w:sz w:val="24"/>
          <w:szCs w:val="24"/>
          <w:lang w:val="en-US"/>
        </w:rPr>
        <w:t xml:space="preserve">Mr </w:t>
      </w:r>
      <w:r w:rsidR="0054754B" w:rsidRPr="0080796E">
        <w:rPr>
          <w:rFonts w:ascii="Arial" w:hAnsi="Arial" w:cs="Arial"/>
          <w:sz w:val="24"/>
          <w:szCs w:val="24"/>
          <w:lang w:val="en-US"/>
        </w:rPr>
        <w:t>Justus</w:t>
      </w:r>
      <w:r w:rsidR="00C7693A" w:rsidRPr="0080796E">
        <w:rPr>
          <w:rFonts w:ascii="Arial" w:hAnsi="Arial" w:cs="Arial"/>
          <w:sz w:val="24"/>
          <w:szCs w:val="24"/>
          <w:lang w:val="en-US"/>
        </w:rPr>
        <w:t xml:space="preserve"> Hamusira </w:t>
      </w:r>
      <w:r w:rsidR="00EB35DB" w:rsidRPr="0080796E">
        <w:rPr>
          <w:rFonts w:ascii="Arial" w:hAnsi="Arial" w:cs="Arial"/>
          <w:sz w:val="24"/>
          <w:szCs w:val="24"/>
          <w:lang w:val="en-US"/>
        </w:rPr>
        <w:t>Hausiku</w:t>
      </w:r>
      <w:r w:rsidR="00C7693A" w:rsidRPr="0080796E">
        <w:rPr>
          <w:rFonts w:ascii="Arial" w:hAnsi="Arial" w:cs="Arial"/>
          <w:sz w:val="24"/>
          <w:szCs w:val="24"/>
          <w:lang w:val="en-US"/>
        </w:rPr>
        <w:t>,</w:t>
      </w:r>
      <w:r w:rsidR="00EB35DB" w:rsidRPr="0080796E">
        <w:rPr>
          <w:rFonts w:ascii="Arial" w:hAnsi="Arial" w:cs="Arial"/>
          <w:sz w:val="24"/>
          <w:szCs w:val="24"/>
          <w:lang w:val="en-US"/>
        </w:rPr>
        <w:t xml:space="preserve"> negotiated a two-way land sale agreement with a Mr </w:t>
      </w:r>
      <w:r w:rsidR="00F77AC7">
        <w:rPr>
          <w:rFonts w:ascii="Arial" w:hAnsi="Arial" w:cs="Arial"/>
          <w:sz w:val="24"/>
          <w:szCs w:val="24"/>
          <w:lang w:val="en-US"/>
        </w:rPr>
        <w:t>Boniface</w:t>
      </w:r>
      <w:r w:rsidR="00E44FD1" w:rsidRPr="0080796E">
        <w:rPr>
          <w:rFonts w:ascii="Arial" w:hAnsi="Arial" w:cs="Arial"/>
          <w:sz w:val="24"/>
          <w:szCs w:val="24"/>
          <w:lang w:val="en-US"/>
        </w:rPr>
        <w:t xml:space="preserve"> Kanyetu </w:t>
      </w:r>
      <w:r w:rsidR="0054754B" w:rsidRPr="0080796E">
        <w:rPr>
          <w:rFonts w:ascii="Arial" w:hAnsi="Arial" w:cs="Arial"/>
          <w:sz w:val="24"/>
          <w:szCs w:val="24"/>
          <w:lang w:val="en-US"/>
        </w:rPr>
        <w:t>Kashera</w:t>
      </w:r>
      <w:r w:rsidR="00C7693A" w:rsidRPr="0080796E">
        <w:rPr>
          <w:rFonts w:ascii="Arial" w:hAnsi="Arial" w:cs="Arial"/>
          <w:sz w:val="24"/>
          <w:szCs w:val="24"/>
          <w:lang w:val="en-US"/>
        </w:rPr>
        <w:t xml:space="preserve"> </w:t>
      </w:r>
      <w:r w:rsidR="00E44FD1" w:rsidRPr="0080796E">
        <w:rPr>
          <w:rFonts w:ascii="Arial" w:hAnsi="Arial" w:cs="Arial"/>
          <w:sz w:val="24"/>
          <w:szCs w:val="24"/>
          <w:lang w:val="en-US"/>
        </w:rPr>
        <w:t xml:space="preserve">(Mr Kashera) </w:t>
      </w:r>
      <w:r w:rsidR="00C7693A" w:rsidRPr="0080796E">
        <w:rPr>
          <w:rFonts w:ascii="Arial" w:hAnsi="Arial" w:cs="Arial"/>
          <w:sz w:val="24"/>
          <w:szCs w:val="24"/>
          <w:lang w:val="en-US"/>
        </w:rPr>
        <w:t>and other</w:t>
      </w:r>
      <w:r w:rsidR="00F622B9" w:rsidRPr="0080796E">
        <w:rPr>
          <w:rFonts w:ascii="Arial" w:hAnsi="Arial" w:cs="Arial"/>
          <w:sz w:val="24"/>
          <w:szCs w:val="24"/>
          <w:lang w:val="en-US"/>
        </w:rPr>
        <w:t xml:space="preserve"> </w:t>
      </w:r>
      <w:r w:rsidR="00C7693A" w:rsidRPr="0080796E">
        <w:rPr>
          <w:rFonts w:ascii="Arial" w:hAnsi="Arial" w:cs="Arial"/>
          <w:sz w:val="24"/>
          <w:szCs w:val="24"/>
          <w:lang w:val="en-US"/>
        </w:rPr>
        <w:t>r</w:t>
      </w:r>
      <w:r w:rsidR="00EB35DB" w:rsidRPr="0080796E">
        <w:rPr>
          <w:rFonts w:ascii="Arial" w:hAnsi="Arial" w:cs="Arial"/>
          <w:sz w:val="24"/>
          <w:szCs w:val="24"/>
          <w:lang w:val="en-US"/>
        </w:rPr>
        <w:t>eg</w:t>
      </w:r>
      <w:r w:rsidR="00F622B9" w:rsidRPr="0080796E">
        <w:rPr>
          <w:rFonts w:ascii="Arial" w:hAnsi="Arial" w:cs="Arial"/>
          <w:sz w:val="24"/>
          <w:szCs w:val="24"/>
          <w:lang w:val="en-US"/>
        </w:rPr>
        <w:t>ional leaders of the respondent</w:t>
      </w:r>
      <w:r w:rsidR="00C37D2F">
        <w:rPr>
          <w:rFonts w:ascii="Arial" w:hAnsi="Arial" w:cs="Arial"/>
          <w:sz w:val="24"/>
          <w:szCs w:val="24"/>
          <w:lang w:val="en-US"/>
        </w:rPr>
        <w:t>, the DTA of Namibia</w:t>
      </w:r>
      <w:r w:rsidR="00F622B9" w:rsidRPr="0080796E">
        <w:rPr>
          <w:rFonts w:ascii="Arial" w:hAnsi="Arial" w:cs="Arial"/>
          <w:sz w:val="24"/>
          <w:szCs w:val="24"/>
          <w:lang w:val="en-US"/>
        </w:rPr>
        <w:t xml:space="preserve"> (DTA)</w:t>
      </w:r>
      <w:r w:rsidR="00333BAB">
        <w:rPr>
          <w:rFonts w:ascii="Arial" w:hAnsi="Arial" w:cs="Arial"/>
          <w:sz w:val="24"/>
          <w:szCs w:val="24"/>
          <w:lang w:val="en-US"/>
        </w:rPr>
        <w:t>, a political party</w:t>
      </w:r>
      <w:r w:rsidR="00C7693A" w:rsidRPr="0080796E">
        <w:rPr>
          <w:rFonts w:ascii="Arial" w:hAnsi="Arial" w:cs="Arial"/>
          <w:sz w:val="24"/>
          <w:szCs w:val="24"/>
          <w:lang w:val="en-US"/>
        </w:rPr>
        <w:t>. DTA’s</w:t>
      </w:r>
      <w:r w:rsidR="00F622B9" w:rsidRPr="0080796E">
        <w:rPr>
          <w:rFonts w:ascii="Arial" w:hAnsi="Arial" w:cs="Arial"/>
          <w:sz w:val="24"/>
          <w:szCs w:val="24"/>
          <w:lang w:val="en-US"/>
        </w:rPr>
        <w:t xml:space="preserve"> regional leaders</w:t>
      </w:r>
      <w:r w:rsidR="00EB35DB" w:rsidRPr="0080796E">
        <w:rPr>
          <w:rFonts w:ascii="Arial" w:hAnsi="Arial" w:cs="Arial"/>
          <w:sz w:val="24"/>
          <w:szCs w:val="24"/>
          <w:lang w:val="en-US"/>
        </w:rPr>
        <w:t xml:space="preserve"> purport</w:t>
      </w:r>
      <w:r w:rsidR="00C7693A" w:rsidRPr="0080796E">
        <w:rPr>
          <w:rFonts w:ascii="Arial" w:hAnsi="Arial" w:cs="Arial"/>
          <w:sz w:val="24"/>
          <w:szCs w:val="24"/>
          <w:lang w:val="en-US"/>
        </w:rPr>
        <w:t>ed</w:t>
      </w:r>
      <w:r w:rsidR="00EB35DB" w:rsidRPr="0080796E">
        <w:rPr>
          <w:rFonts w:ascii="Arial" w:hAnsi="Arial" w:cs="Arial"/>
          <w:sz w:val="24"/>
          <w:szCs w:val="24"/>
          <w:lang w:val="en-US"/>
        </w:rPr>
        <w:t xml:space="preserve"> to represent the </w:t>
      </w:r>
      <w:r w:rsidR="00F622B9" w:rsidRPr="0080796E">
        <w:rPr>
          <w:rFonts w:ascii="Arial" w:hAnsi="Arial" w:cs="Arial"/>
          <w:sz w:val="24"/>
          <w:szCs w:val="24"/>
          <w:lang w:val="en-US"/>
        </w:rPr>
        <w:t>DTA</w:t>
      </w:r>
      <w:r w:rsidR="00333BAB">
        <w:rPr>
          <w:rFonts w:ascii="Arial" w:hAnsi="Arial" w:cs="Arial"/>
          <w:sz w:val="24"/>
          <w:szCs w:val="24"/>
          <w:lang w:val="en-US"/>
        </w:rPr>
        <w:t xml:space="preserve"> in the transaction.</w:t>
      </w:r>
      <w:r w:rsidR="00235A4F">
        <w:rPr>
          <w:rFonts w:ascii="Arial" w:hAnsi="Arial" w:cs="Arial"/>
          <w:sz w:val="24"/>
          <w:szCs w:val="24"/>
          <w:lang w:val="en-US"/>
        </w:rPr>
        <w:t xml:space="preserve"> </w:t>
      </w:r>
      <w:r w:rsidR="00F622B9" w:rsidRPr="0080796E">
        <w:rPr>
          <w:rFonts w:ascii="Arial" w:hAnsi="Arial" w:cs="Arial"/>
          <w:sz w:val="24"/>
          <w:szCs w:val="24"/>
          <w:lang w:val="en-US"/>
        </w:rPr>
        <w:t>The transaction was in respect of E</w:t>
      </w:r>
      <w:r w:rsidR="00333BAB">
        <w:rPr>
          <w:rFonts w:ascii="Arial" w:hAnsi="Arial" w:cs="Arial"/>
          <w:sz w:val="24"/>
          <w:szCs w:val="24"/>
          <w:lang w:val="en-US"/>
        </w:rPr>
        <w:t>rf No. 1225, Extension 3, Rundu</w:t>
      </w:r>
      <w:r w:rsidR="00F622B9" w:rsidRPr="0080796E">
        <w:rPr>
          <w:rFonts w:ascii="Arial" w:hAnsi="Arial" w:cs="Arial"/>
          <w:sz w:val="24"/>
          <w:szCs w:val="24"/>
          <w:lang w:val="en-US"/>
        </w:rPr>
        <w:t xml:space="preserve"> (the disputed land).</w:t>
      </w:r>
      <w:r w:rsidR="00B56F2D" w:rsidRPr="0080796E">
        <w:rPr>
          <w:rFonts w:ascii="Arial" w:hAnsi="Arial" w:cs="Arial"/>
          <w:sz w:val="24"/>
          <w:szCs w:val="24"/>
          <w:lang w:val="en-US"/>
        </w:rPr>
        <w:t xml:space="preserve"> At the</w:t>
      </w:r>
      <w:r w:rsidR="00EB35DB" w:rsidRPr="0080796E">
        <w:rPr>
          <w:rFonts w:ascii="Arial" w:hAnsi="Arial" w:cs="Arial"/>
          <w:sz w:val="24"/>
          <w:szCs w:val="24"/>
          <w:lang w:val="en-US"/>
        </w:rPr>
        <w:t xml:space="preserve"> time of the conclusion of the agreement giving rise to the actual transfer of the disputed land from the DTA to River View, the former was in occupation thereof </w:t>
      </w:r>
      <w:r w:rsidR="009466F8" w:rsidRPr="0080796E">
        <w:rPr>
          <w:rFonts w:ascii="Arial" w:hAnsi="Arial" w:cs="Arial"/>
          <w:sz w:val="24"/>
          <w:szCs w:val="24"/>
          <w:lang w:val="en-US"/>
        </w:rPr>
        <w:t xml:space="preserve">since about 1988 </w:t>
      </w:r>
      <w:r w:rsidR="00EB35DB" w:rsidRPr="0080796E">
        <w:rPr>
          <w:rFonts w:ascii="Arial" w:hAnsi="Arial" w:cs="Arial"/>
          <w:sz w:val="24"/>
          <w:szCs w:val="24"/>
          <w:lang w:val="en-US"/>
        </w:rPr>
        <w:t>by virtue of a permission to occupy (PTO) granted to it by the Rundu Town Council (RTC)</w:t>
      </w:r>
      <w:r w:rsidR="009466F8" w:rsidRPr="0080796E">
        <w:rPr>
          <w:rFonts w:ascii="Arial" w:hAnsi="Arial" w:cs="Arial"/>
          <w:sz w:val="24"/>
          <w:szCs w:val="24"/>
          <w:lang w:val="en-US"/>
        </w:rPr>
        <w:t>, until 2013 when the land was transferred to it</w:t>
      </w:r>
      <w:r w:rsidR="00333BAB">
        <w:rPr>
          <w:rFonts w:ascii="Arial" w:hAnsi="Arial" w:cs="Arial"/>
          <w:sz w:val="24"/>
          <w:szCs w:val="24"/>
          <w:lang w:val="en-US"/>
        </w:rPr>
        <w:t xml:space="preserve"> as will soon become apparent</w:t>
      </w:r>
      <w:r w:rsidR="009466F8" w:rsidRPr="0080796E">
        <w:rPr>
          <w:rFonts w:ascii="Arial" w:hAnsi="Arial" w:cs="Arial"/>
          <w:sz w:val="24"/>
          <w:szCs w:val="24"/>
          <w:lang w:val="en-US"/>
        </w:rPr>
        <w:t>.</w:t>
      </w:r>
    </w:p>
    <w:p w14:paraId="0DB51E9E" w14:textId="77777777" w:rsidR="00EB35DB" w:rsidRPr="00DA4A51" w:rsidRDefault="00EB35DB" w:rsidP="00F355DB">
      <w:pPr>
        <w:spacing w:line="480" w:lineRule="auto"/>
        <w:jc w:val="both"/>
        <w:rPr>
          <w:rFonts w:ascii="Arial" w:hAnsi="Arial" w:cs="Arial"/>
          <w:lang w:val="en-US"/>
        </w:rPr>
      </w:pPr>
    </w:p>
    <w:p w14:paraId="38C67F25" w14:textId="064AD001" w:rsidR="00EB35DB" w:rsidRPr="0080796E" w:rsidRDefault="00EB35DB" w:rsidP="0080796E">
      <w:pPr>
        <w:pStyle w:val="NoSpacing"/>
        <w:numPr>
          <w:ilvl w:val="0"/>
          <w:numId w:val="7"/>
        </w:numPr>
        <w:spacing w:line="480" w:lineRule="auto"/>
        <w:ind w:left="0" w:firstLine="0"/>
        <w:jc w:val="both"/>
        <w:rPr>
          <w:rFonts w:ascii="Arial" w:hAnsi="Arial" w:cs="Arial"/>
          <w:sz w:val="24"/>
          <w:szCs w:val="24"/>
          <w:lang w:val="en-US"/>
        </w:rPr>
      </w:pPr>
      <w:r w:rsidRPr="0080796E">
        <w:rPr>
          <w:rFonts w:ascii="Arial" w:hAnsi="Arial" w:cs="Arial"/>
          <w:sz w:val="24"/>
          <w:szCs w:val="24"/>
          <w:lang w:val="en-US"/>
        </w:rPr>
        <w:t xml:space="preserve">It is common </w:t>
      </w:r>
      <w:r w:rsidR="00083DFA">
        <w:rPr>
          <w:rFonts w:ascii="Arial" w:hAnsi="Arial" w:cs="Arial"/>
          <w:sz w:val="24"/>
          <w:szCs w:val="24"/>
          <w:lang w:val="en-US"/>
        </w:rPr>
        <w:t>cause</w:t>
      </w:r>
      <w:r w:rsidRPr="0080796E">
        <w:rPr>
          <w:rFonts w:ascii="Arial" w:hAnsi="Arial" w:cs="Arial"/>
          <w:sz w:val="24"/>
          <w:szCs w:val="24"/>
          <w:lang w:val="en-US"/>
        </w:rPr>
        <w:t xml:space="preserve"> that as part of the two-way transaction</w:t>
      </w:r>
      <w:r w:rsidR="00083DFA">
        <w:rPr>
          <w:rFonts w:ascii="Arial" w:hAnsi="Arial" w:cs="Arial"/>
          <w:sz w:val="24"/>
          <w:szCs w:val="24"/>
          <w:lang w:val="en-US"/>
        </w:rPr>
        <w:t>,</w:t>
      </w:r>
      <w:r w:rsidRPr="0080796E">
        <w:rPr>
          <w:rFonts w:ascii="Arial" w:hAnsi="Arial" w:cs="Arial"/>
          <w:sz w:val="24"/>
          <w:szCs w:val="24"/>
          <w:lang w:val="en-US"/>
        </w:rPr>
        <w:t xml:space="preserve"> the DTA would first buy the disputed land from the RTC and then</w:t>
      </w:r>
      <w:r w:rsidR="00207763" w:rsidRPr="0080796E">
        <w:rPr>
          <w:rFonts w:ascii="Arial" w:hAnsi="Arial" w:cs="Arial"/>
          <w:sz w:val="24"/>
          <w:szCs w:val="24"/>
          <w:lang w:val="en-US"/>
        </w:rPr>
        <w:t>,</w:t>
      </w:r>
      <w:r w:rsidRPr="0080796E">
        <w:rPr>
          <w:rFonts w:ascii="Arial" w:hAnsi="Arial" w:cs="Arial"/>
          <w:sz w:val="24"/>
          <w:szCs w:val="24"/>
          <w:lang w:val="en-US"/>
        </w:rPr>
        <w:t xml:space="preserve"> in terms of a separate transaction</w:t>
      </w:r>
      <w:r w:rsidR="00207763" w:rsidRPr="0080796E">
        <w:rPr>
          <w:rFonts w:ascii="Arial" w:hAnsi="Arial" w:cs="Arial"/>
          <w:sz w:val="24"/>
          <w:szCs w:val="24"/>
          <w:lang w:val="en-US"/>
        </w:rPr>
        <w:t>,</w:t>
      </w:r>
      <w:r w:rsidRPr="0080796E">
        <w:rPr>
          <w:rFonts w:ascii="Arial" w:hAnsi="Arial" w:cs="Arial"/>
          <w:sz w:val="24"/>
          <w:szCs w:val="24"/>
          <w:lang w:val="en-US"/>
        </w:rPr>
        <w:t xml:space="preserve"> sell it to River View</w:t>
      </w:r>
      <w:r w:rsidR="00592D39">
        <w:rPr>
          <w:rFonts w:ascii="Arial" w:hAnsi="Arial" w:cs="Arial"/>
          <w:sz w:val="24"/>
          <w:szCs w:val="24"/>
          <w:lang w:val="en-US"/>
        </w:rPr>
        <w:t>.</w:t>
      </w:r>
    </w:p>
    <w:p w14:paraId="5D8EC3AE" w14:textId="77777777" w:rsidR="00207763" w:rsidRDefault="00207763" w:rsidP="00F355DB">
      <w:pPr>
        <w:spacing w:line="480" w:lineRule="auto"/>
        <w:jc w:val="both"/>
        <w:rPr>
          <w:rFonts w:ascii="Arial" w:hAnsi="Arial" w:cs="Arial"/>
          <w:u w:val="single"/>
          <w:lang w:val="en-US"/>
        </w:rPr>
      </w:pPr>
    </w:p>
    <w:p w14:paraId="32087CBE" w14:textId="40109E21" w:rsidR="00EB35DB" w:rsidRPr="00DA4A51" w:rsidRDefault="00EB35DB" w:rsidP="00F355DB">
      <w:pPr>
        <w:spacing w:line="480" w:lineRule="auto"/>
        <w:jc w:val="both"/>
        <w:rPr>
          <w:rFonts w:ascii="Arial" w:hAnsi="Arial" w:cs="Arial"/>
          <w:u w:val="single"/>
          <w:lang w:val="en-US"/>
        </w:rPr>
      </w:pPr>
      <w:r>
        <w:rPr>
          <w:rFonts w:ascii="Arial" w:hAnsi="Arial" w:cs="Arial"/>
          <w:u w:val="single"/>
          <w:lang w:val="en-US"/>
        </w:rPr>
        <w:t>The two-way transfer</w:t>
      </w:r>
    </w:p>
    <w:p w14:paraId="0AA657BF" w14:textId="72636FBE" w:rsidR="00EB35DB" w:rsidRDefault="00EB35DB" w:rsidP="0080796E">
      <w:pPr>
        <w:pStyle w:val="NoSpacing"/>
        <w:numPr>
          <w:ilvl w:val="0"/>
          <w:numId w:val="7"/>
        </w:numPr>
        <w:spacing w:line="480" w:lineRule="auto"/>
        <w:ind w:left="0" w:firstLine="0"/>
        <w:jc w:val="both"/>
        <w:rPr>
          <w:rFonts w:ascii="Arial" w:hAnsi="Arial" w:cs="Arial"/>
          <w:lang w:val="en-US"/>
        </w:rPr>
      </w:pPr>
      <w:r w:rsidRPr="0080796E">
        <w:rPr>
          <w:rFonts w:ascii="Arial" w:eastAsia="Calibri" w:hAnsi="Arial" w:cs="Arial"/>
          <w:sz w:val="24"/>
          <w:szCs w:val="24"/>
          <w:lang w:val="en-US"/>
        </w:rPr>
        <w:t xml:space="preserve">With the assistance of a conveyancer, </w:t>
      </w:r>
      <w:r w:rsidR="00086CAC" w:rsidRPr="0080796E">
        <w:rPr>
          <w:rFonts w:ascii="Arial" w:eastAsia="Calibri" w:hAnsi="Arial" w:cs="Arial"/>
          <w:sz w:val="24"/>
          <w:szCs w:val="24"/>
          <w:lang w:val="en-US"/>
        </w:rPr>
        <w:t xml:space="preserve">Mr </w:t>
      </w:r>
      <w:r w:rsidRPr="0080796E">
        <w:rPr>
          <w:rFonts w:ascii="Arial" w:eastAsia="Calibri" w:hAnsi="Arial" w:cs="Arial"/>
          <w:sz w:val="24"/>
          <w:szCs w:val="24"/>
          <w:lang w:val="en-US"/>
        </w:rPr>
        <w:t>Kashera</w:t>
      </w:r>
      <w:r w:rsidR="000B1AC1" w:rsidRPr="000B1AC1">
        <w:rPr>
          <w:rStyle w:val="FootnoteReference"/>
          <w:rFonts w:ascii="Arial" w:eastAsia="Calibri" w:hAnsi="Arial" w:cs="Arial"/>
          <w:sz w:val="24"/>
          <w:szCs w:val="24"/>
          <w:lang w:val="en-US"/>
        </w:rPr>
        <w:footnoteReference w:id="1"/>
      </w:r>
      <w:r w:rsidR="000B1AC1">
        <w:rPr>
          <w:rFonts w:ascii="Arial" w:eastAsia="Calibri" w:hAnsi="Arial" w:cs="Arial"/>
          <w:sz w:val="24"/>
          <w:szCs w:val="24"/>
          <w:lang w:val="en-US"/>
        </w:rPr>
        <w:t>,</w:t>
      </w:r>
      <w:r w:rsidRPr="0080796E">
        <w:rPr>
          <w:rFonts w:ascii="Arial" w:eastAsia="Calibri" w:hAnsi="Arial" w:cs="Arial"/>
          <w:sz w:val="24"/>
          <w:szCs w:val="24"/>
          <w:lang w:val="en-US"/>
        </w:rPr>
        <w:t xml:space="preserve"> purporting to act on behalf of the DTA, concluded a written agreement with the RTC for the settlement of outstanding rates and taxes</w:t>
      </w:r>
      <w:r w:rsidR="000B1AC1">
        <w:rPr>
          <w:rFonts w:ascii="Arial" w:eastAsia="Calibri" w:hAnsi="Arial" w:cs="Arial"/>
          <w:sz w:val="24"/>
          <w:szCs w:val="24"/>
          <w:lang w:val="en-US"/>
        </w:rPr>
        <w:t>,</w:t>
      </w:r>
      <w:r w:rsidRPr="0080796E">
        <w:rPr>
          <w:rFonts w:ascii="Arial" w:eastAsia="Calibri" w:hAnsi="Arial" w:cs="Arial"/>
          <w:sz w:val="24"/>
          <w:szCs w:val="24"/>
          <w:lang w:val="en-US"/>
        </w:rPr>
        <w:t xml:space="preserve"> and for the purchase of the disputed land. DTA’s financial obligations for that transaction were met with money provided by River View. Once the disputed land was transferred from RTC into DTA’s name, it was on-transferred to </w:t>
      </w:r>
      <w:r w:rsidRPr="0080796E">
        <w:rPr>
          <w:rFonts w:ascii="Arial" w:eastAsia="Calibri" w:hAnsi="Arial" w:cs="Arial"/>
          <w:sz w:val="24"/>
          <w:szCs w:val="24"/>
          <w:lang w:val="en-US"/>
        </w:rPr>
        <w:lastRenderedPageBreak/>
        <w:t>River View in terms of a writt</w:t>
      </w:r>
      <w:r w:rsidR="00D9730B" w:rsidRPr="0080796E">
        <w:rPr>
          <w:rFonts w:ascii="Arial" w:eastAsia="Calibri" w:hAnsi="Arial" w:cs="Arial"/>
          <w:sz w:val="24"/>
          <w:szCs w:val="24"/>
          <w:lang w:val="en-US"/>
        </w:rPr>
        <w:t>en agreement between Mr Kashera</w:t>
      </w:r>
      <w:r w:rsidRPr="0080796E">
        <w:rPr>
          <w:rFonts w:ascii="Arial" w:eastAsia="Calibri" w:hAnsi="Arial" w:cs="Arial"/>
          <w:sz w:val="24"/>
          <w:szCs w:val="24"/>
          <w:lang w:val="en-US"/>
        </w:rPr>
        <w:t xml:space="preserve"> </w:t>
      </w:r>
      <w:r w:rsidR="00B56F2D" w:rsidRPr="0080796E">
        <w:rPr>
          <w:rFonts w:ascii="Arial" w:eastAsia="Calibri" w:hAnsi="Arial" w:cs="Arial"/>
          <w:sz w:val="24"/>
          <w:szCs w:val="24"/>
          <w:lang w:val="en-US"/>
        </w:rPr>
        <w:t>(</w:t>
      </w:r>
      <w:r w:rsidRPr="0080796E">
        <w:rPr>
          <w:rFonts w:ascii="Arial" w:eastAsia="Calibri" w:hAnsi="Arial" w:cs="Arial"/>
          <w:sz w:val="24"/>
          <w:szCs w:val="24"/>
          <w:lang w:val="en-US"/>
        </w:rPr>
        <w:t>purport</w:t>
      </w:r>
      <w:r w:rsidR="00B56F2D" w:rsidRPr="0080796E">
        <w:rPr>
          <w:rFonts w:ascii="Arial" w:eastAsia="Calibri" w:hAnsi="Arial" w:cs="Arial"/>
          <w:sz w:val="24"/>
          <w:szCs w:val="24"/>
          <w:lang w:val="en-US"/>
        </w:rPr>
        <w:t>ing to act on behalf of the DTA)</w:t>
      </w:r>
      <w:r w:rsidRPr="0080796E">
        <w:rPr>
          <w:rFonts w:ascii="Arial" w:eastAsia="Calibri" w:hAnsi="Arial" w:cs="Arial"/>
          <w:sz w:val="24"/>
          <w:szCs w:val="24"/>
          <w:lang w:val="en-US"/>
        </w:rPr>
        <w:t xml:space="preserve"> and River View. </w:t>
      </w:r>
    </w:p>
    <w:p w14:paraId="0AC0933C" w14:textId="77777777" w:rsidR="008E42B9" w:rsidRDefault="008E42B9" w:rsidP="00F355DB">
      <w:pPr>
        <w:pStyle w:val="ListParagraph"/>
        <w:spacing w:line="480" w:lineRule="auto"/>
        <w:ind w:left="0"/>
        <w:jc w:val="both"/>
        <w:rPr>
          <w:rFonts w:ascii="Arial" w:hAnsi="Arial" w:cs="Arial"/>
          <w:lang w:val="en-US"/>
        </w:rPr>
      </w:pPr>
    </w:p>
    <w:p w14:paraId="09835099" w14:textId="05443F8D" w:rsidR="008E42B9" w:rsidRPr="0080796E" w:rsidRDefault="008E42B9" w:rsidP="0080796E">
      <w:pPr>
        <w:pStyle w:val="NoSpacing"/>
        <w:numPr>
          <w:ilvl w:val="0"/>
          <w:numId w:val="7"/>
        </w:numPr>
        <w:spacing w:line="480" w:lineRule="auto"/>
        <w:ind w:left="0" w:firstLine="0"/>
        <w:jc w:val="both"/>
        <w:rPr>
          <w:rFonts w:ascii="Arial" w:eastAsia="Calibri" w:hAnsi="Arial" w:cs="Arial"/>
          <w:sz w:val="24"/>
          <w:szCs w:val="24"/>
          <w:lang w:val="en-US"/>
        </w:rPr>
      </w:pPr>
      <w:r w:rsidRPr="0080796E">
        <w:rPr>
          <w:rFonts w:ascii="Arial" w:eastAsia="Calibri" w:hAnsi="Arial" w:cs="Arial"/>
          <w:sz w:val="24"/>
          <w:szCs w:val="24"/>
          <w:lang w:val="en-US"/>
        </w:rPr>
        <w:t xml:space="preserve">River View’s </w:t>
      </w:r>
      <w:r w:rsidR="00D9730B" w:rsidRPr="0080796E">
        <w:rPr>
          <w:rFonts w:ascii="Arial" w:eastAsia="Calibri" w:hAnsi="Arial" w:cs="Arial"/>
          <w:sz w:val="24"/>
          <w:szCs w:val="24"/>
          <w:lang w:val="en-US"/>
        </w:rPr>
        <w:t xml:space="preserve">Mr </w:t>
      </w:r>
      <w:r w:rsidRPr="0080796E">
        <w:rPr>
          <w:rFonts w:ascii="Arial" w:eastAsia="Calibri" w:hAnsi="Arial" w:cs="Arial"/>
          <w:sz w:val="24"/>
          <w:szCs w:val="24"/>
          <w:lang w:val="en-US"/>
        </w:rPr>
        <w:t xml:space="preserve">Hausiku and DTA’s </w:t>
      </w:r>
      <w:r w:rsidR="00DF5BEA" w:rsidRPr="0080796E">
        <w:rPr>
          <w:rFonts w:ascii="Arial" w:eastAsia="Calibri" w:hAnsi="Arial" w:cs="Arial"/>
          <w:sz w:val="24"/>
          <w:szCs w:val="24"/>
          <w:lang w:val="en-US"/>
        </w:rPr>
        <w:t xml:space="preserve">Mr </w:t>
      </w:r>
      <w:r w:rsidRPr="0080796E">
        <w:rPr>
          <w:rFonts w:ascii="Arial" w:eastAsia="Calibri" w:hAnsi="Arial" w:cs="Arial"/>
          <w:sz w:val="24"/>
          <w:szCs w:val="24"/>
          <w:lang w:val="en-US"/>
        </w:rPr>
        <w:t>Kashera agreed to und</w:t>
      </w:r>
      <w:r w:rsidR="00083DFA">
        <w:rPr>
          <w:rFonts w:ascii="Arial" w:eastAsia="Calibri" w:hAnsi="Arial" w:cs="Arial"/>
          <w:sz w:val="24"/>
          <w:szCs w:val="24"/>
          <w:lang w:val="en-US"/>
        </w:rPr>
        <w:t>erstate the actual purchase pric</w:t>
      </w:r>
      <w:r w:rsidRPr="0080796E">
        <w:rPr>
          <w:rFonts w:ascii="Arial" w:eastAsia="Calibri" w:hAnsi="Arial" w:cs="Arial"/>
          <w:sz w:val="24"/>
          <w:szCs w:val="24"/>
          <w:lang w:val="en-US"/>
        </w:rPr>
        <w:t>e for the d</w:t>
      </w:r>
      <w:r w:rsidR="000B1AC1">
        <w:rPr>
          <w:rFonts w:ascii="Arial" w:eastAsia="Calibri" w:hAnsi="Arial" w:cs="Arial"/>
          <w:sz w:val="24"/>
          <w:szCs w:val="24"/>
          <w:lang w:val="en-US"/>
        </w:rPr>
        <w:t>isputed land as being N$82 740 in order for</w:t>
      </w:r>
      <w:r w:rsidRPr="0080796E">
        <w:rPr>
          <w:rFonts w:ascii="Arial" w:eastAsia="Calibri" w:hAnsi="Arial" w:cs="Arial"/>
          <w:sz w:val="24"/>
          <w:szCs w:val="24"/>
          <w:lang w:val="en-US"/>
        </w:rPr>
        <w:t xml:space="preserve"> River View </w:t>
      </w:r>
      <w:r w:rsidR="000B1AC1">
        <w:rPr>
          <w:rFonts w:ascii="Arial" w:eastAsia="Calibri" w:hAnsi="Arial" w:cs="Arial"/>
          <w:sz w:val="24"/>
          <w:szCs w:val="24"/>
          <w:lang w:val="en-US"/>
        </w:rPr>
        <w:t>to pay</w:t>
      </w:r>
      <w:r w:rsidRPr="0080796E">
        <w:rPr>
          <w:rFonts w:ascii="Arial" w:eastAsia="Calibri" w:hAnsi="Arial" w:cs="Arial"/>
          <w:sz w:val="24"/>
          <w:szCs w:val="24"/>
          <w:lang w:val="en-US"/>
        </w:rPr>
        <w:t xml:space="preserve"> considerably less transfer duty to the Receiver of Revenue. </w:t>
      </w:r>
      <w:r w:rsidR="00086CAC" w:rsidRPr="0080796E">
        <w:rPr>
          <w:rFonts w:ascii="Arial" w:eastAsia="Calibri" w:hAnsi="Arial" w:cs="Arial"/>
          <w:sz w:val="24"/>
          <w:szCs w:val="24"/>
          <w:lang w:val="en-US"/>
        </w:rPr>
        <w:t>The actual pri</w:t>
      </w:r>
      <w:r w:rsidR="00A74A34">
        <w:rPr>
          <w:rFonts w:ascii="Arial" w:eastAsia="Calibri" w:hAnsi="Arial" w:cs="Arial"/>
          <w:sz w:val="24"/>
          <w:szCs w:val="24"/>
          <w:lang w:val="en-US"/>
        </w:rPr>
        <w:t>c</w:t>
      </w:r>
      <w:r w:rsidR="00086CAC" w:rsidRPr="0080796E">
        <w:rPr>
          <w:rFonts w:ascii="Arial" w:eastAsia="Calibri" w:hAnsi="Arial" w:cs="Arial"/>
          <w:sz w:val="24"/>
          <w:szCs w:val="24"/>
          <w:lang w:val="en-US"/>
        </w:rPr>
        <w:t>e was considerably more than that recorded in the deed of sale between the DTA and River View.</w:t>
      </w:r>
    </w:p>
    <w:p w14:paraId="2A81023F" w14:textId="77777777" w:rsidR="00EB35DB" w:rsidRPr="002A45DE" w:rsidRDefault="00EB35DB" w:rsidP="00F355DB">
      <w:pPr>
        <w:pStyle w:val="ListParagraph"/>
        <w:spacing w:line="480" w:lineRule="auto"/>
        <w:ind w:left="0"/>
        <w:jc w:val="both"/>
        <w:rPr>
          <w:rFonts w:ascii="Arial" w:hAnsi="Arial" w:cs="Arial"/>
          <w:u w:val="single"/>
          <w:lang w:val="en-US"/>
        </w:rPr>
      </w:pPr>
    </w:p>
    <w:p w14:paraId="323FE5C8" w14:textId="6D6242E7" w:rsidR="00EB35DB" w:rsidRPr="002A45DE" w:rsidRDefault="0022434C" w:rsidP="00F355DB">
      <w:pPr>
        <w:pStyle w:val="ListParagraph"/>
        <w:spacing w:line="480" w:lineRule="auto"/>
        <w:ind w:left="0"/>
        <w:jc w:val="both"/>
        <w:rPr>
          <w:rFonts w:ascii="Arial" w:hAnsi="Arial" w:cs="Arial"/>
          <w:u w:val="single"/>
          <w:lang w:val="en-US"/>
        </w:rPr>
      </w:pPr>
      <w:r>
        <w:rPr>
          <w:rFonts w:ascii="Arial" w:hAnsi="Arial" w:cs="Arial"/>
          <w:u w:val="single"/>
          <w:lang w:val="en-US"/>
        </w:rPr>
        <w:t>Continu</w:t>
      </w:r>
      <w:r w:rsidR="00086CAC">
        <w:rPr>
          <w:rFonts w:ascii="Arial" w:hAnsi="Arial" w:cs="Arial"/>
          <w:u w:val="single"/>
          <w:lang w:val="en-US"/>
        </w:rPr>
        <w:t>ing</w:t>
      </w:r>
      <w:r w:rsidR="008C2E6A">
        <w:rPr>
          <w:rFonts w:ascii="Arial" w:hAnsi="Arial" w:cs="Arial"/>
          <w:u w:val="single"/>
          <w:lang w:val="en-US"/>
        </w:rPr>
        <w:t xml:space="preserve"> o</w:t>
      </w:r>
      <w:r w:rsidR="00EB35DB" w:rsidRPr="002A45DE">
        <w:rPr>
          <w:rFonts w:ascii="Arial" w:hAnsi="Arial" w:cs="Arial"/>
          <w:u w:val="single"/>
          <w:lang w:val="en-US"/>
        </w:rPr>
        <w:t>ccupation</w:t>
      </w:r>
    </w:p>
    <w:p w14:paraId="7CAD906A" w14:textId="223CB2DD" w:rsidR="000258A2" w:rsidRPr="0080796E" w:rsidRDefault="00EB35DB" w:rsidP="0080796E">
      <w:pPr>
        <w:pStyle w:val="NoSpacing"/>
        <w:numPr>
          <w:ilvl w:val="0"/>
          <w:numId w:val="7"/>
        </w:numPr>
        <w:spacing w:line="480" w:lineRule="auto"/>
        <w:ind w:left="0" w:firstLine="0"/>
        <w:jc w:val="both"/>
        <w:rPr>
          <w:rFonts w:ascii="Arial" w:hAnsi="Arial" w:cs="Arial"/>
          <w:sz w:val="24"/>
          <w:szCs w:val="24"/>
          <w:lang w:val="en-US"/>
        </w:rPr>
      </w:pPr>
      <w:r w:rsidRPr="0080796E">
        <w:rPr>
          <w:rFonts w:ascii="Arial" w:hAnsi="Arial" w:cs="Arial"/>
          <w:sz w:val="24"/>
          <w:szCs w:val="24"/>
          <w:lang w:val="en-US"/>
        </w:rPr>
        <w:t>Although the disputed land was transferred to River View at</w:t>
      </w:r>
      <w:r w:rsidR="006E157A" w:rsidRPr="0080796E">
        <w:rPr>
          <w:rFonts w:ascii="Arial" w:hAnsi="Arial" w:cs="Arial"/>
          <w:sz w:val="24"/>
          <w:szCs w:val="24"/>
          <w:lang w:val="en-US"/>
        </w:rPr>
        <w:t xml:space="preserve"> the Deeds Registry, DTA remained</w:t>
      </w:r>
      <w:r w:rsidRPr="0080796E">
        <w:rPr>
          <w:rFonts w:ascii="Arial" w:hAnsi="Arial" w:cs="Arial"/>
          <w:sz w:val="24"/>
          <w:szCs w:val="24"/>
          <w:lang w:val="en-US"/>
        </w:rPr>
        <w:t xml:space="preserve"> in occupation of </w:t>
      </w:r>
      <w:r w:rsidR="006E157A" w:rsidRPr="0080796E">
        <w:rPr>
          <w:rFonts w:ascii="Arial" w:hAnsi="Arial" w:cs="Arial"/>
          <w:sz w:val="24"/>
          <w:szCs w:val="24"/>
          <w:lang w:val="en-US"/>
        </w:rPr>
        <w:t>it.</w:t>
      </w:r>
      <w:r w:rsidRPr="0080796E">
        <w:rPr>
          <w:rFonts w:ascii="Arial" w:hAnsi="Arial" w:cs="Arial"/>
          <w:sz w:val="24"/>
          <w:szCs w:val="24"/>
          <w:lang w:val="en-US"/>
        </w:rPr>
        <w:t xml:space="preserve"> Whilst in </w:t>
      </w:r>
      <w:r w:rsidR="00DF3C80">
        <w:rPr>
          <w:rFonts w:ascii="Arial" w:hAnsi="Arial" w:cs="Arial"/>
          <w:sz w:val="24"/>
          <w:szCs w:val="24"/>
          <w:lang w:val="en-US"/>
        </w:rPr>
        <w:t xml:space="preserve">such </w:t>
      </w:r>
      <w:r w:rsidRPr="0080796E">
        <w:rPr>
          <w:rFonts w:ascii="Arial" w:hAnsi="Arial" w:cs="Arial"/>
          <w:sz w:val="24"/>
          <w:szCs w:val="24"/>
          <w:lang w:val="en-US"/>
        </w:rPr>
        <w:t>occupation</w:t>
      </w:r>
      <w:r w:rsidR="00083DFA">
        <w:rPr>
          <w:rFonts w:ascii="Arial" w:hAnsi="Arial" w:cs="Arial"/>
          <w:sz w:val="24"/>
          <w:szCs w:val="24"/>
          <w:lang w:val="en-US"/>
        </w:rPr>
        <w:t>,</w:t>
      </w:r>
      <w:r w:rsidR="00B56F2D" w:rsidRPr="0080796E">
        <w:rPr>
          <w:rFonts w:ascii="Arial" w:hAnsi="Arial" w:cs="Arial"/>
          <w:sz w:val="24"/>
          <w:szCs w:val="24"/>
          <w:lang w:val="en-US"/>
        </w:rPr>
        <w:t xml:space="preserve"> </w:t>
      </w:r>
      <w:r w:rsidRPr="0080796E">
        <w:rPr>
          <w:rFonts w:ascii="Arial" w:hAnsi="Arial" w:cs="Arial"/>
          <w:sz w:val="24"/>
          <w:szCs w:val="24"/>
          <w:lang w:val="en-US"/>
        </w:rPr>
        <w:t>the DTA by combined summons brought a clai</w:t>
      </w:r>
      <w:r w:rsidR="006E157A" w:rsidRPr="0080796E">
        <w:rPr>
          <w:rFonts w:ascii="Arial" w:hAnsi="Arial" w:cs="Arial"/>
          <w:sz w:val="24"/>
          <w:szCs w:val="24"/>
          <w:lang w:val="en-US"/>
        </w:rPr>
        <w:t xml:space="preserve">m against River View to have </w:t>
      </w:r>
      <w:r w:rsidR="00A74A34">
        <w:rPr>
          <w:rFonts w:ascii="Arial" w:hAnsi="Arial" w:cs="Arial"/>
          <w:sz w:val="24"/>
          <w:szCs w:val="24"/>
          <w:lang w:val="en-US"/>
        </w:rPr>
        <w:t>the land</w:t>
      </w:r>
      <w:r w:rsidRPr="0080796E">
        <w:rPr>
          <w:rFonts w:ascii="Arial" w:hAnsi="Arial" w:cs="Arial"/>
          <w:sz w:val="24"/>
          <w:szCs w:val="24"/>
          <w:lang w:val="en-US"/>
        </w:rPr>
        <w:t xml:space="preserve"> retransferred into its name, alleging that its then r</w:t>
      </w:r>
      <w:r w:rsidR="00B61C44">
        <w:rPr>
          <w:rFonts w:ascii="Arial" w:hAnsi="Arial" w:cs="Arial"/>
          <w:sz w:val="24"/>
          <w:szCs w:val="24"/>
          <w:lang w:val="en-US"/>
        </w:rPr>
        <w:t xml:space="preserve">egional leaders in the Kavango </w:t>
      </w:r>
      <w:r w:rsidR="00083DFA">
        <w:rPr>
          <w:rFonts w:ascii="Arial" w:hAnsi="Arial" w:cs="Arial"/>
          <w:sz w:val="24"/>
          <w:szCs w:val="24"/>
          <w:lang w:val="en-US"/>
        </w:rPr>
        <w:t>r</w:t>
      </w:r>
      <w:r w:rsidRPr="0080796E">
        <w:rPr>
          <w:rFonts w:ascii="Arial" w:hAnsi="Arial" w:cs="Arial"/>
          <w:sz w:val="24"/>
          <w:szCs w:val="24"/>
          <w:lang w:val="en-US"/>
        </w:rPr>
        <w:t>egion had no authority under the DTA’s constitution to conclude the sale of t</w:t>
      </w:r>
      <w:r w:rsidR="00DB0D99">
        <w:rPr>
          <w:rFonts w:ascii="Arial" w:hAnsi="Arial" w:cs="Arial"/>
          <w:sz w:val="24"/>
          <w:szCs w:val="24"/>
          <w:lang w:val="en-US"/>
        </w:rPr>
        <w:t>he disputed land to River View.</w:t>
      </w:r>
    </w:p>
    <w:p w14:paraId="37B98B6B" w14:textId="77777777" w:rsidR="000258A2" w:rsidRDefault="000258A2" w:rsidP="00F355DB">
      <w:pPr>
        <w:pStyle w:val="ListParagraph"/>
        <w:spacing w:line="480" w:lineRule="auto"/>
        <w:ind w:left="0"/>
        <w:jc w:val="both"/>
        <w:rPr>
          <w:rFonts w:ascii="Arial" w:hAnsi="Arial" w:cs="Arial"/>
          <w:lang w:val="en-US"/>
        </w:rPr>
      </w:pPr>
    </w:p>
    <w:p w14:paraId="585EFAA7" w14:textId="41275BA5" w:rsidR="00EB35DB" w:rsidRPr="0080796E" w:rsidRDefault="00EB35DB" w:rsidP="0080796E">
      <w:pPr>
        <w:pStyle w:val="NoSpacing"/>
        <w:numPr>
          <w:ilvl w:val="0"/>
          <w:numId w:val="7"/>
        </w:numPr>
        <w:spacing w:line="480" w:lineRule="auto"/>
        <w:ind w:left="0" w:firstLine="0"/>
        <w:jc w:val="both"/>
        <w:rPr>
          <w:rFonts w:ascii="Arial" w:hAnsi="Arial" w:cs="Arial"/>
          <w:sz w:val="24"/>
          <w:szCs w:val="24"/>
          <w:lang w:val="en-US"/>
        </w:rPr>
      </w:pPr>
      <w:r w:rsidRPr="0080796E">
        <w:rPr>
          <w:rFonts w:ascii="Arial" w:hAnsi="Arial" w:cs="Arial"/>
          <w:sz w:val="24"/>
          <w:szCs w:val="24"/>
          <w:lang w:val="en-US"/>
        </w:rPr>
        <w:t xml:space="preserve">River View defended </w:t>
      </w:r>
      <w:r w:rsidR="00DF3C80">
        <w:rPr>
          <w:rFonts w:ascii="Arial" w:hAnsi="Arial" w:cs="Arial"/>
          <w:sz w:val="24"/>
          <w:szCs w:val="24"/>
          <w:lang w:val="en-US"/>
        </w:rPr>
        <w:t>DTA’s</w:t>
      </w:r>
      <w:r w:rsidR="000B1AC1">
        <w:rPr>
          <w:rFonts w:ascii="Arial" w:hAnsi="Arial" w:cs="Arial"/>
          <w:sz w:val="24"/>
          <w:szCs w:val="24"/>
          <w:lang w:val="en-US"/>
        </w:rPr>
        <w:t xml:space="preserve"> action</w:t>
      </w:r>
      <w:r w:rsidRPr="0080796E">
        <w:rPr>
          <w:rFonts w:ascii="Arial" w:hAnsi="Arial" w:cs="Arial"/>
          <w:sz w:val="24"/>
          <w:szCs w:val="24"/>
          <w:lang w:val="en-US"/>
        </w:rPr>
        <w:t xml:space="preserve"> and also counterclaimed for (a) ejection of the DTA from the disputed land and (b) restitution in the event that</w:t>
      </w:r>
      <w:r w:rsidR="00DB0D99">
        <w:rPr>
          <w:rFonts w:ascii="Arial" w:hAnsi="Arial" w:cs="Arial"/>
          <w:sz w:val="24"/>
          <w:szCs w:val="24"/>
          <w:lang w:val="en-US"/>
        </w:rPr>
        <w:t xml:space="preserve"> DTA succeeds in its claim.</w:t>
      </w:r>
    </w:p>
    <w:p w14:paraId="4EC2C012" w14:textId="77777777" w:rsidR="00EB35DB" w:rsidRDefault="00EB35DB" w:rsidP="00F355DB">
      <w:pPr>
        <w:spacing w:line="480" w:lineRule="auto"/>
        <w:jc w:val="both"/>
        <w:rPr>
          <w:rFonts w:ascii="Arial" w:hAnsi="Arial" w:cs="Arial"/>
          <w:u w:val="single"/>
          <w:lang w:val="en-US"/>
        </w:rPr>
      </w:pPr>
    </w:p>
    <w:p w14:paraId="1CEDB8F7" w14:textId="66DDAE13" w:rsidR="0043246D" w:rsidRPr="00DA4A51" w:rsidRDefault="00EB35DB" w:rsidP="00F355DB">
      <w:pPr>
        <w:spacing w:line="480" w:lineRule="auto"/>
        <w:jc w:val="both"/>
        <w:rPr>
          <w:rFonts w:ascii="Arial" w:hAnsi="Arial" w:cs="Arial"/>
          <w:u w:val="single"/>
          <w:lang w:val="en-US"/>
        </w:rPr>
      </w:pPr>
      <w:r w:rsidRPr="00DA4A51">
        <w:rPr>
          <w:rFonts w:ascii="Arial" w:hAnsi="Arial" w:cs="Arial"/>
          <w:u w:val="single"/>
          <w:lang w:val="en-US"/>
        </w:rPr>
        <w:t>The pleadings</w:t>
      </w:r>
    </w:p>
    <w:p w14:paraId="495BFD6C" w14:textId="616C00A4" w:rsidR="00EB35DB" w:rsidRPr="0043246D" w:rsidRDefault="00EB35DB" w:rsidP="00F355DB">
      <w:pPr>
        <w:spacing w:line="480" w:lineRule="auto"/>
        <w:jc w:val="both"/>
        <w:rPr>
          <w:rFonts w:ascii="Arial" w:hAnsi="Arial" w:cs="Arial"/>
          <w:i/>
          <w:lang w:val="en-US"/>
        </w:rPr>
      </w:pPr>
      <w:r>
        <w:rPr>
          <w:rFonts w:ascii="Arial" w:hAnsi="Arial" w:cs="Arial"/>
          <w:i/>
          <w:lang w:val="en-US"/>
        </w:rPr>
        <w:t xml:space="preserve">DTA’s claim </w:t>
      </w:r>
    </w:p>
    <w:p w14:paraId="6915F2E5" w14:textId="49F77635" w:rsidR="00EB35DB" w:rsidRPr="0080796E" w:rsidRDefault="000258A2" w:rsidP="0080796E">
      <w:pPr>
        <w:pStyle w:val="NoSpacing"/>
        <w:numPr>
          <w:ilvl w:val="0"/>
          <w:numId w:val="7"/>
        </w:numPr>
        <w:spacing w:line="480" w:lineRule="auto"/>
        <w:ind w:left="0" w:firstLine="0"/>
        <w:jc w:val="both"/>
        <w:rPr>
          <w:rFonts w:ascii="Arial" w:hAnsi="Arial" w:cs="Arial"/>
          <w:sz w:val="24"/>
          <w:szCs w:val="24"/>
          <w:lang w:val="en-US"/>
        </w:rPr>
      </w:pPr>
      <w:r w:rsidRPr="0080796E">
        <w:rPr>
          <w:rFonts w:ascii="Arial" w:hAnsi="Arial" w:cs="Arial"/>
          <w:sz w:val="24"/>
          <w:szCs w:val="24"/>
          <w:lang w:val="en-US"/>
        </w:rPr>
        <w:t>In its particulars of claim the</w:t>
      </w:r>
      <w:r w:rsidR="00EB35DB" w:rsidRPr="0080796E">
        <w:rPr>
          <w:rFonts w:ascii="Arial" w:hAnsi="Arial" w:cs="Arial"/>
          <w:sz w:val="24"/>
          <w:szCs w:val="24"/>
          <w:lang w:val="en-US"/>
        </w:rPr>
        <w:t xml:space="preserve"> DTA alleged that whilst it was the lawful and registered owner of the disputed land, Mr Kashera (acting in person as the </w:t>
      </w:r>
      <w:r w:rsidR="00083DFA">
        <w:rPr>
          <w:rFonts w:ascii="Arial" w:hAnsi="Arial" w:cs="Arial"/>
          <w:sz w:val="24"/>
          <w:szCs w:val="24"/>
          <w:lang w:val="en-US"/>
        </w:rPr>
        <w:t>s</w:t>
      </w:r>
      <w:r w:rsidR="00EB35DB" w:rsidRPr="0080796E">
        <w:rPr>
          <w:rFonts w:ascii="Arial" w:hAnsi="Arial" w:cs="Arial"/>
          <w:sz w:val="24"/>
          <w:szCs w:val="24"/>
          <w:lang w:val="en-US"/>
        </w:rPr>
        <w:t>eller) fraudulently misrepresented to an agent of River View</w:t>
      </w:r>
      <w:r w:rsidRPr="0080796E">
        <w:rPr>
          <w:rFonts w:ascii="Arial" w:hAnsi="Arial" w:cs="Arial"/>
          <w:sz w:val="24"/>
          <w:szCs w:val="24"/>
          <w:lang w:val="en-US"/>
        </w:rPr>
        <w:t xml:space="preserve"> (Mr</w:t>
      </w:r>
      <w:r w:rsidR="00EB35DB" w:rsidRPr="0080796E">
        <w:rPr>
          <w:rFonts w:ascii="Arial" w:hAnsi="Arial" w:cs="Arial"/>
          <w:sz w:val="24"/>
          <w:szCs w:val="24"/>
          <w:lang w:val="en-US"/>
        </w:rPr>
        <w:t xml:space="preserve"> Hausiku) that he was duly </w:t>
      </w:r>
      <w:r w:rsidR="00EB35DB" w:rsidRPr="0080796E">
        <w:rPr>
          <w:rFonts w:ascii="Arial" w:hAnsi="Arial" w:cs="Arial"/>
          <w:sz w:val="24"/>
          <w:szCs w:val="24"/>
          <w:lang w:val="en-US"/>
        </w:rPr>
        <w:lastRenderedPageBreak/>
        <w:t xml:space="preserve">authorised by the DTA to sell the disputed land to River View. According to the particulars of claim, River View was aware of the misrepresentation by Mr Kashera and that the latter did not have the authority to alienate the disputed land on behalf of the DTA. It is alleged that River View was also aware that the DTA did not intend to sell the disputed land and for that reason River View was not a </w:t>
      </w:r>
      <w:r w:rsidR="00EB35DB" w:rsidRPr="0080796E">
        <w:rPr>
          <w:rFonts w:ascii="Arial" w:hAnsi="Arial" w:cs="Arial"/>
          <w:i/>
          <w:sz w:val="24"/>
          <w:szCs w:val="24"/>
          <w:lang w:val="en-US"/>
        </w:rPr>
        <w:t>bona fide</w:t>
      </w:r>
      <w:r w:rsidR="00EB35DB" w:rsidRPr="0080796E">
        <w:rPr>
          <w:rFonts w:ascii="Arial" w:hAnsi="Arial" w:cs="Arial"/>
          <w:sz w:val="24"/>
          <w:szCs w:val="24"/>
          <w:lang w:val="en-US"/>
        </w:rPr>
        <w:t xml:space="preserve"> third party to the transaction. </w:t>
      </w:r>
    </w:p>
    <w:p w14:paraId="0A143328" w14:textId="77777777" w:rsidR="00EB35DB" w:rsidRPr="0080796E" w:rsidRDefault="00EB35DB" w:rsidP="00F355DB">
      <w:pPr>
        <w:spacing w:line="480" w:lineRule="auto"/>
        <w:jc w:val="both"/>
        <w:rPr>
          <w:rFonts w:ascii="Arial" w:hAnsi="Arial" w:cs="Arial"/>
          <w:lang w:val="en-US"/>
        </w:rPr>
      </w:pPr>
    </w:p>
    <w:p w14:paraId="43FB3197" w14:textId="5B5022FB" w:rsidR="00EB35DB" w:rsidRPr="0080796E" w:rsidRDefault="00446F35" w:rsidP="0080796E">
      <w:pPr>
        <w:pStyle w:val="NoSpacing"/>
        <w:numPr>
          <w:ilvl w:val="0"/>
          <w:numId w:val="7"/>
        </w:numPr>
        <w:spacing w:line="480" w:lineRule="auto"/>
        <w:ind w:left="0" w:firstLine="0"/>
        <w:jc w:val="both"/>
        <w:rPr>
          <w:rFonts w:ascii="Arial" w:hAnsi="Arial" w:cs="Arial"/>
          <w:sz w:val="24"/>
          <w:szCs w:val="24"/>
          <w:lang w:val="en-US"/>
        </w:rPr>
      </w:pPr>
      <w:r w:rsidRPr="0080796E">
        <w:rPr>
          <w:rFonts w:ascii="Arial" w:hAnsi="Arial" w:cs="Arial"/>
          <w:sz w:val="24"/>
          <w:szCs w:val="24"/>
          <w:lang w:val="en-US"/>
        </w:rPr>
        <w:t>According to the DTA,</w:t>
      </w:r>
      <w:r w:rsidR="00B56F2D" w:rsidRPr="0080796E">
        <w:rPr>
          <w:rFonts w:ascii="Arial" w:hAnsi="Arial" w:cs="Arial"/>
          <w:sz w:val="24"/>
          <w:szCs w:val="24"/>
          <w:lang w:val="en-US"/>
        </w:rPr>
        <w:t xml:space="preserve"> w</w:t>
      </w:r>
      <w:r w:rsidR="00EB35DB" w:rsidRPr="0080796E">
        <w:rPr>
          <w:rFonts w:ascii="Arial" w:hAnsi="Arial" w:cs="Arial"/>
          <w:sz w:val="24"/>
          <w:szCs w:val="24"/>
          <w:lang w:val="en-US"/>
        </w:rPr>
        <w:t xml:space="preserve">hen </w:t>
      </w:r>
      <w:r w:rsidR="00B56F2D" w:rsidRPr="0080796E">
        <w:rPr>
          <w:rFonts w:ascii="Arial" w:hAnsi="Arial" w:cs="Arial"/>
          <w:sz w:val="24"/>
          <w:szCs w:val="24"/>
          <w:lang w:val="en-US"/>
        </w:rPr>
        <w:t xml:space="preserve">Mr </w:t>
      </w:r>
      <w:r w:rsidR="00EB35DB" w:rsidRPr="0080796E">
        <w:rPr>
          <w:rFonts w:ascii="Arial" w:hAnsi="Arial" w:cs="Arial"/>
          <w:sz w:val="24"/>
          <w:szCs w:val="24"/>
          <w:lang w:val="en-US"/>
        </w:rPr>
        <w:t>Kashera made the representation to River View he knew it to be false as he was not acting within the course and scope of his employment with the DTA nor was he authorised to sell the disputed land as he purported to do. The DTA also alleged that the disputed land was transferred to Rive</w:t>
      </w:r>
      <w:r w:rsidR="00F355DB" w:rsidRPr="0080796E">
        <w:rPr>
          <w:rFonts w:ascii="Arial" w:hAnsi="Arial" w:cs="Arial"/>
          <w:sz w:val="24"/>
          <w:szCs w:val="24"/>
          <w:lang w:val="en-US"/>
        </w:rPr>
        <w:t>r</w:t>
      </w:r>
      <w:r w:rsidR="00EB35DB" w:rsidRPr="0080796E">
        <w:rPr>
          <w:rFonts w:ascii="Arial" w:hAnsi="Arial" w:cs="Arial"/>
          <w:sz w:val="24"/>
          <w:szCs w:val="24"/>
          <w:lang w:val="en-US"/>
        </w:rPr>
        <w:t xml:space="preserve"> View in the absence of a written agreement between it and River View</w:t>
      </w:r>
      <w:r w:rsidR="00EA716C" w:rsidRPr="0080796E">
        <w:rPr>
          <w:rFonts w:ascii="Arial" w:hAnsi="Arial" w:cs="Arial"/>
          <w:sz w:val="24"/>
          <w:szCs w:val="24"/>
          <w:lang w:val="en-US"/>
        </w:rPr>
        <w:t>;</w:t>
      </w:r>
      <w:r w:rsidR="00EB35DB" w:rsidRPr="0080796E">
        <w:rPr>
          <w:rFonts w:ascii="Arial" w:hAnsi="Arial" w:cs="Arial"/>
          <w:sz w:val="24"/>
          <w:szCs w:val="24"/>
          <w:lang w:val="en-US"/>
        </w:rPr>
        <w:t xml:space="preserve"> </w:t>
      </w:r>
      <w:r w:rsidR="00E13155" w:rsidRPr="0080796E">
        <w:rPr>
          <w:rFonts w:ascii="Arial" w:hAnsi="Arial" w:cs="Arial"/>
          <w:sz w:val="24"/>
          <w:szCs w:val="24"/>
          <w:lang w:val="en-US"/>
        </w:rPr>
        <w:t>alternatively,</w:t>
      </w:r>
      <w:r w:rsidR="00EB35DB" w:rsidRPr="0080796E">
        <w:rPr>
          <w:rFonts w:ascii="Arial" w:hAnsi="Arial" w:cs="Arial"/>
          <w:sz w:val="24"/>
          <w:szCs w:val="24"/>
          <w:lang w:val="en-US"/>
        </w:rPr>
        <w:t xml:space="preserve"> River View took transfer of the disputed land ‘on the basis of a fraudulent transaction engineered by </w:t>
      </w:r>
      <w:r w:rsidR="00DB0D99">
        <w:rPr>
          <w:rFonts w:ascii="Arial" w:hAnsi="Arial" w:cs="Arial"/>
          <w:sz w:val="24"/>
          <w:szCs w:val="24"/>
          <w:lang w:val="en-US"/>
        </w:rPr>
        <w:t>(</w:t>
      </w:r>
      <w:r w:rsidR="00EB35DB" w:rsidRPr="0080796E">
        <w:rPr>
          <w:rFonts w:ascii="Arial" w:hAnsi="Arial" w:cs="Arial"/>
          <w:sz w:val="24"/>
          <w:szCs w:val="24"/>
          <w:lang w:val="en-US"/>
        </w:rPr>
        <w:t>Mr Kashera</w:t>
      </w:r>
      <w:r w:rsidR="00DB0D99">
        <w:rPr>
          <w:rFonts w:ascii="Arial" w:hAnsi="Arial" w:cs="Arial"/>
          <w:sz w:val="24"/>
          <w:szCs w:val="24"/>
          <w:lang w:val="en-US"/>
        </w:rPr>
        <w:t>)</w:t>
      </w:r>
      <w:r w:rsidR="00EB35DB" w:rsidRPr="0080796E">
        <w:rPr>
          <w:rFonts w:ascii="Arial" w:hAnsi="Arial" w:cs="Arial"/>
          <w:sz w:val="24"/>
          <w:szCs w:val="24"/>
          <w:lang w:val="en-US"/>
        </w:rPr>
        <w:t>’.</w:t>
      </w:r>
    </w:p>
    <w:p w14:paraId="16AA4034" w14:textId="77777777" w:rsidR="00EB35DB" w:rsidRPr="0080796E" w:rsidRDefault="00EB35DB" w:rsidP="00F355DB">
      <w:pPr>
        <w:spacing w:line="480" w:lineRule="auto"/>
        <w:jc w:val="both"/>
        <w:rPr>
          <w:rFonts w:ascii="Arial" w:hAnsi="Arial" w:cs="Arial"/>
          <w:lang w:val="en-US"/>
        </w:rPr>
      </w:pPr>
    </w:p>
    <w:p w14:paraId="2870169C" w14:textId="0B79668D" w:rsidR="000B1AC1" w:rsidRPr="000B1AC1" w:rsidRDefault="00EA716C" w:rsidP="000B1AC1">
      <w:pPr>
        <w:pStyle w:val="NoSpacing"/>
        <w:numPr>
          <w:ilvl w:val="0"/>
          <w:numId w:val="7"/>
        </w:numPr>
        <w:spacing w:line="480" w:lineRule="auto"/>
        <w:ind w:left="0" w:firstLine="0"/>
        <w:jc w:val="both"/>
        <w:rPr>
          <w:rFonts w:ascii="Arial" w:hAnsi="Arial" w:cs="Arial"/>
          <w:lang w:val="en-US"/>
        </w:rPr>
      </w:pPr>
      <w:r w:rsidRPr="0080796E">
        <w:rPr>
          <w:rFonts w:ascii="Arial" w:hAnsi="Arial" w:cs="Arial"/>
          <w:sz w:val="24"/>
          <w:szCs w:val="24"/>
          <w:lang w:val="en-US"/>
        </w:rPr>
        <w:t>It is alleged that in any event</w:t>
      </w:r>
      <w:r w:rsidR="00EB35DB" w:rsidRPr="0080796E">
        <w:rPr>
          <w:rFonts w:ascii="Arial" w:hAnsi="Arial" w:cs="Arial"/>
          <w:sz w:val="24"/>
          <w:szCs w:val="24"/>
          <w:lang w:val="en-US"/>
        </w:rPr>
        <w:t xml:space="preserve"> the purported sale of the disputed land took place without an und</w:t>
      </w:r>
      <w:r w:rsidR="00A23FBB" w:rsidRPr="0080796E">
        <w:rPr>
          <w:rFonts w:ascii="Arial" w:hAnsi="Arial" w:cs="Arial"/>
          <w:sz w:val="24"/>
          <w:szCs w:val="24"/>
          <w:lang w:val="en-US"/>
        </w:rPr>
        <w:t>erlying agreement between the D</w:t>
      </w:r>
      <w:r w:rsidR="00EB35DB" w:rsidRPr="0080796E">
        <w:rPr>
          <w:rFonts w:ascii="Arial" w:hAnsi="Arial" w:cs="Arial"/>
          <w:sz w:val="24"/>
          <w:szCs w:val="24"/>
          <w:lang w:val="en-US"/>
        </w:rPr>
        <w:t xml:space="preserve">TA and River View and therefore </w:t>
      </w:r>
      <w:r w:rsidR="00A23FBB" w:rsidRPr="0080796E">
        <w:rPr>
          <w:rFonts w:ascii="Arial" w:hAnsi="Arial" w:cs="Arial"/>
          <w:sz w:val="24"/>
          <w:szCs w:val="24"/>
          <w:lang w:val="en-US"/>
        </w:rPr>
        <w:t xml:space="preserve">in breach of </w:t>
      </w:r>
      <w:r w:rsidR="00EB35DB" w:rsidRPr="0080796E">
        <w:rPr>
          <w:rFonts w:ascii="Arial" w:hAnsi="Arial" w:cs="Arial"/>
          <w:sz w:val="24"/>
          <w:szCs w:val="24"/>
          <w:lang w:val="en-US"/>
        </w:rPr>
        <w:t>s 1(1) of the Formalities in Respect of Contracts of Sale of Land Act 71 of 1969</w:t>
      </w:r>
      <w:r w:rsidR="000B1AC1">
        <w:rPr>
          <w:rFonts w:ascii="Arial" w:hAnsi="Arial" w:cs="Arial"/>
          <w:sz w:val="24"/>
          <w:szCs w:val="24"/>
          <w:lang w:val="en-US"/>
        </w:rPr>
        <w:t>,</w:t>
      </w:r>
      <w:r w:rsidR="00EB35DB" w:rsidRPr="0080796E">
        <w:rPr>
          <w:rFonts w:ascii="Arial" w:hAnsi="Arial" w:cs="Arial"/>
          <w:sz w:val="24"/>
          <w:szCs w:val="24"/>
          <w:lang w:val="en-US"/>
        </w:rPr>
        <w:t xml:space="preserve"> as Mr Kashera was not authorised by the DTA to alienate the disputed land.  </w:t>
      </w:r>
      <w:r w:rsidR="00A23FBB" w:rsidRPr="0080796E">
        <w:rPr>
          <w:rFonts w:ascii="Arial" w:hAnsi="Arial" w:cs="Arial"/>
          <w:sz w:val="24"/>
          <w:szCs w:val="24"/>
          <w:lang w:val="en-US"/>
        </w:rPr>
        <w:t xml:space="preserve">The assertion goes that since there was </w:t>
      </w:r>
      <w:r w:rsidR="00EB35DB" w:rsidRPr="0080796E">
        <w:rPr>
          <w:rFonts w:ascii="Arial" w:hAnsi="Arial" w:cs="Arial"/>
          <w:sz w:val="24"/>
          <w:szCs w:val="24"/>
          <w:lang w:val="en-US"/>
        </w:rPr>
        <w:t xml:space="preserve">no real agreement between the DTA and River View, the latter and the </w:t>
      </w:r>
      <w:r w:rsidR="00615C0E">
        <w:rPr>
          <w:rFonts w:ascii="Arial" w:hAnsi="Arial" w:cs="Arial"/>
          <w:sz w:val="24"/>
          <w:szCs w:val="24"/>
          <w:lang w:val="en-US"/>
        </w:rPr>
        <w:t>Registrar of Deeds</w:t>
      </w:r>
      <w:r w:rsidR="00EB35DB" w:rsidRPr="0080796E">
        <w:rPr>
          <w:rFonts w:ascii="Arial" w:hAnsi="Arial" w:cs="Arial"/>
          <w:sz w:val="24"/>
          <w:szCs w:val="24"/>
          <w:lang w:val="en-US"/>
        </w:rPr>
        <w:t xml:space="preserve"> are liable to restore ownership of the disputed land to the DTA; and that Mr Kashera is liable to make restitution to River View on account of his alleged fraudulent </w:t>
      </w:r>
      <w:r w:rsidR="00A23FBB" w:rsidRPr="0080796E">
        <w:rPr>
          <w:rFonts w:ascii="Arial" w:hAnsi="Arial" w:cs="Arial"/>
          <w:sz w:val="24"/>
          <w:szCs w:val="24"/>
          <w:lang w:val="en-US"/>
        </w:rPr>
        <w:t>condu</w:t>
      </w:r>
      <w:r w:rsidR="00A23FBB">
        <w:rPr>
          <w:rFonts w:ascii="Arial" w:hAnsi="Arial" w:cs="Arial"/>
          <w:lang w:val="en-US"/>
        </w:rPr>
        <w:t>ct.</w:t>
      </w:r>
      <w:r w:rsidR="00EB35DB">
        <w:rPr>
          <w:rFonts w:ascii="Arial" w:hAnsi="Arial" w:cs="Arial"/>
          <w:lang w:val="en-US"/>
        </w:rPr>
        <w:t xml:space="preserve"> </w:t>
      </w:r>
    </w:p>
    <w:p w14:paraId="362DE759" w14:textId="77777777" w:rsidR="008F709A" w:rsidRDefault="008F709A" w:rsidP="00F355DB">
      <w:pPr>
        <w:spacing w:line="480" w:lineRule="auto"/>
        <w:jc w:val="both"/>
        <w:rPr>
          <w:rFonts w:ascii="Arial" w:hAnsi="Arial" w:cs="Arial"/>
          <w:lang w:val="en-US"/>
        </w:rPr>
      </w:pPr>
    </w:p>
    <w:p w14:paraId="7508FDCC" w14:textId="77777777" w:rsidR="008F2CAE" w:rsidRDefault="008F2CAE">
      <w:pPr>
        <w:rPr>
          <w:rFonts w:ascii="Arial" w:hAnsi="Arial" w:cs="Arial"/>
          <w:u w:val="single"/>
          <w:lang w:val="en-US"/>
        </w:rPr>
      </w:pPr>
      <w:r>
        <w:rPr>
          <w:rFonts w:ascii="Arial" w:hAnsi="Arial" w:cs="Arial"/>
          <w:u w:val="single"/>
          <w:lang w:val="en-US"/>
        </w:rPr>
        <w:br w:type="page"/>
      </w:r>
    </w:p>
    <w:p w14:paraId="70DA933F" w14:textId="441F04D3" w:rsidR="00EB35DB" w:rsidRPr="0079743D" w:rsidRDefault="00EB35DB" w:rsidP="00F355DB">
      <w:pPr>
        <w:spacing w:line="480" w:lineRule="auto"/>
        <w:jc w:val="both"/>
        <w:rPr>
          <w:rFonts w:ascii="Arial" w:hAnsi="Arial" w:cs="Arial"/>
          <w:u w:val="single"/>
          <w:lang w:val="en-US"/>
        </w:rPr>
      </w:pPr>
      <w:r w:rsidRPr="0079743D">
        <w:rPr>
          <w:rFonts w:ascii="Arial" w:hAnsi="Arial" w:cs="Arial"/>
          <w:u w:val="single"/>
          <w:lang w:val="en-US"/>
        </w:rPr>
        <w:lastRenderedPageBreak/>
        <w:t>The plea</w:t>
      </w:r>
    </w:p>
    <w:p w14:paraId="5EB92BC8" w14:textId="39FACE9F" w:rsidR="00C508AD" w:rsidRPr="0080796E" w:rsidRDefault="004C3724" w:rsidP="0080796E">
      <w:pPr>
        <w:pStyle w:val="NoSpacing"/>
        <w:numPr>
          <w:ilvl w:val="0"/>
          <w:numId w:val="7"/>
        </w:numPr>
        <w:spacing w:line="480" w:lineRule="auto"/>
        <w:ind w:left="0" w:firstLine="0"/>
        <w:jc w:val="both"/>
        <w:rPr>
          <w:rFonts w:ascii="Arial" w:hAnsi="Arial" w:cs="Arial"/>
          <w:iCs/>
          <w:sz w:val="24"/>
          <w:szCs w:val="24"/>
          <w:lang w:val="en-US"/>
        </w:rPr>
      </w:pPr>
      <w:r w:rsidRPr="0080796E">
        <w:rPr>
          <w:rFonts w:ascii="Arial" w:hAnsi="Arial" w:cs="Arial"/>
          <w:iCs/>
          <w:sz w:val="24"/>
          <w:szCs w:val="24"/>
          <w:lang w:val="en-US"/>
        </w:rPr>
        <w:t xml:space="preserve">According to </w:t>
      </w:r>
      <w:r w:rsidR="00A23FBB" w:rsidRPr="0080796E">
        <w:rPr>
          <w:rFonts w:ascii="Arial" w:hAnsi="Arial" w:cs="Arial"/>
          <w:iCs/>
          <w:sz w:val="24"/>
          <w:szCs w:val="24"/>
          <w:lang w:val="en-US"/>
        </w:rPr>
        <w:t>River View</w:t>
      </w:r>
      <w:r w:rsidRPr="0080796E">
        <w:rPr>
          <w:rFonts w:ascii="Arial" w:hAnsi="Arial" w:cs="Arial"/>
          <w:iCs/>
          <w:sz w:val="24"/>
          <w:szCs w:val="24"/>
          <w:lang w:val="en-US"/>
        </w:rPr>
        <w:t xml:space="preserve">, </w:t>
      </w:r>
      <w:r w:rsidR="00F355DB" w:rsidRPr="0080796E">
        <w:rPr>
          <w:rFonts w:ascii="Arial" w:hAnsi="Arial" w:cs="Arial"/>
          <w:iCs/>
          <w:sz w:val="24"/>
          <w:szCs w:val="24"/>
          <w:lang w:val="en-US"/>
        </w:rPr>
        <w:t>Mr Kashera and another official</w:t>
      </w:r>
      <w:r w:rsidR="00C508AD" w:rsidRPr="0080796E">
        <w:rPr>
          <w:rFonts w:ascii="Arial" w:hAnsi="Arial" w:cs="Arial"/>
          <w:iCs/>
          <w:sz w:val="24"/>
          <w:szCs w:val="24"/>
          <w:lang w:val="en-US"/>
        </w:rPr>
        <w:t xml:space="preserve"> of the DTA </w:t>
      </w:r>
      <w:r w:rsidR="00F355DB" w:rsidRPr="0080796E">
        <w:rPr>
          <w:rFonts w:ascii="Arial" w:hAnsi="Arial" w:cs="Arial"/>
          <w:iCs/>
          <w:sz w:val="24"/>
          <w:szCs w:val="24"/>
          <w:lang w:val="en-US"/>
        </w:rPr>
        <w:t>‘</w:t>
      </w:r>
      <w:r w:rsidR="00C508AD" w:rsidRPr="0080796E">
        <w:rPr>
          <w:rFonts w:ascii="Arial" w:hAnsi="Arial" w:cs="Arial"/>
          <w:iCs/>
          <w:sz w:val="24"/>
          <w:szCs w:val="24"/>
          <w:lang w:val="en-US"/>
        </w:rPr>
        <w:t>orally and in writing</w:t>
      </w:r>
      <w:r w:rsidR="00F355DB" w:rsidRPr="0080796E">
        <w:rPr>
          <w:rFonts w:ascii="Arial" w:hAnsi="Arial" w:cs="Arial"/>
          <w:iCs/>
          <w:sz w:val="24"/>
          <w:szCs w:val="24"/>
          <w:lang w:val="en-US"/>
        </w:rPr>
        <w:t>’</w:t>
      </w:r>
      <w:r w:rsidR="00C508AD" w:rsidRPr="0080796E">
        <w:rPr>
          <w:rFonts w:ascii="Arial" w:hAnsi="Arial" w:cs="Arial"/>
          <w:iCs/>
          <w:sz w:val="24"/>
          <w:szCs w:val="24"/>
          <w:lang w:val="en-US"/>
        </w:rPr>
        <w:t xml:space="preserve"> offered the disputed land to River View on condition that DTA would take transfer of it from the RTC and on-transfer it to River View. It is for that reason, it is alleged, </w:t>
      </w:r>
      <w:r w:rsidRPr="0080796E">
        <w:rPr>
          <w:rFonts w:ascii="Arial" w:hAnsi="Arial" w:cs="Arial"/>
          <w:iCs/>
          <w:sz w:val="24"/>
          <w:szCs w:val="24"/>
          <w:lang w:val="en-US"/>
        </w:rPr>
        <w:t xml:space="preserve">that </w:t>
      </w:r>
      <w:r w:rsidR="00C508AD" w:rsidRPr="0080796E">
        <w:rPr>
          <w:rFonts w:ascii="Arial" w:hAnsi="Arial" w:cs="Arial"/>
          <w:iCs/>
          <w:sz w:val="24"/>
          <w:szCs w:val="24"/>
          <w:lang w:val="en-US"/>
        </w:rPr>
        <w:t xml:space="preserve">the DTA never paid any money to </w:t>
      </w:r>
      <w:r w:rsidRPr="0080796E">
        <w:rPr>
          <w:rFonts w:ascii="Arial" w:hAnsi="Arial" w:cs="Arial"/>
          <w:iCs/>
          <w:sz w:val="24"/>
          <w:szCs w:val="24"/>
          <w:lang w:val="en-US"/>
        </w:rPr>
        <w:t>take transfe</w:t>
      </w:r>
      <w:r w:rsidR="00720A31" w:rsidRPr="0080796E">
        <w:rPr>
          <w:rFonts w:ascii="Arial" w:hAnsi="Arial" w:cs="Arial"/>
          <w:iCs/>
          <w:sz w:val="24"/>
          <w:szCs w:val="24"/>
          <w:lang w:val="en-US"/>
        </w:rPr>
        <w:t>r of the disputed land from RTC</w:t>
      </w:r>
      <w:r w:rsidR="00C508AD" w:rsidRPr="0080796E">
        <w:rPr>
          <w:rFonts w:ascii="Arial" w:hAnsi="Arial" w:cs="Arial"/>
          <w:iCs/>
          <w:sz w:val="24"/>
          <w:szCs w:val="24"/>
          <w:lang w:val="en-US"/>
        </w:rPr>
        <w:t xml:space="preserve">: for the purchase price, outstanding rates and taxes, transfer duty and conveyancers’ fees. Those costs were borne by River View as the common intention between </w:t>
      </w:r>
      <w:r w:rsidR="008E17AB" w:rsidRPr="0080796E">
        <w:rPr>
          <w:rFonts w:ascii="Arial" w:hAnsi="Arial" w:cs="Arial"/>
          <w:iCs/>
          <w:sz w:val="24"/>
          <w:szCs w:val="24"/>
          <w:lang w:val="en-US"/>
        </w:rPr>
        <w:t xml:space="preserve">Mr </w:t>
      </w:r>
      <w:r w:rsidR="00C508AD" w:rsidRPr="0080796E">
        <w:rPr>
          <w:rFonts w:ascii="Arial" w:hAnsi="Arial" w:cs="Arial"/>
          <w:iCs/>
          <w:sz w:val="24"/>
          <w:szCs w:val="24"/>
          <w:lang w:val="en-US"/>
        </w:rPr>
        <w:t xml:space="preserve">Kashera acting on behalf of the DTA and River View was to transfer ownership of the disputed </w:t>
      </w:r>
      <w:r w:rsidR="008F2CAE">
        <w:rPr>
          <w:rFonts w:ascii="Arial" w:hAnsi="Arial" w:cs="Arial"/>
          <w:iCs/>
          <w:sz w:val="24"/>
          <w:szCs w:val="24"/>
          <w:lang w:val="en-US"/>
        </w:rPr>
        <w:t>land to River View.</w:t>
      </w:r>
    </w:p>
    <w:p w14:paraId="00D18BE0" w14:textId="77777777" w:rsidR="00C508AD" w:rsidRPr="0080796E" w:rsidRDefault="00C508AD" w:rsidP="00F355DB">
      <w:pPr>
        <w:pStyle w:val="ListParagraph"/>
        <w:spacing w:line="480" w:lineRule="auto"/>
        <w:ind w:left="0"/>
        <w:jc w:val="both"/>
        <w:rPr>
          <w:rFonts w:ascii="Arial" w:hAnsi="Arial" w:cs="Arial"/>
          <w:iCs/>
          <w:lang w:val="en-US"/>
        </w:rPr>
      </w:pPr>
    </w:p>
    <w:p w14:paraId="01EFC4C1" w14:textId="557A452A" w:rsidR="00C508AD" w:rsidRPr="0080796E" w:rsidRDefault="004C3724" w:rsidP="0080796E">
      <w:pPr>
        <w:pStyle w:val="NoSpacing"/>
        <w:numPr>
          <w:ilvl w:val="0"/>
          <w:numId w:val="7"/>
        </w:numPr>
        <w:spacing w:line="480" w:lineRule="auto"/>
        <w:ind w:left="0" w:firstLine="0"/>
        <w:jc w:val="both"/>
        <w:rPr>
          <w:rFonts w:ascii="Arial" w:hAnsi="Arial" w:cs="Arial"/>
          <w:iCs/>
          <w:sz w:val="24"/>
          <w:szCs w:val="24"/>
          <w:lang w:val="en-US"/>
        </w:rPr>
      </w:pPr>
      <w:r w:rsidRPr="0080796E">
        <w:rPr>
          <w:rFonts w:ascii="Arial" w:hAnsi="Arial" w:cs="Arial"/>
          <w:iCs/>
          <w:sz w:val="24"/>
          <w:szCs w:val="24"/>
          <w:lang w:val="en-US"/>
        </w:rPr>
        <w:t xml:space="preserve">River View further </w:t>
      </w:r>
      <w:r w:rsidR="00C508AD" w:rsidRPr="0080796E">
        <w:rPr>
          <w:rFonts w:ascii="Arial" w:hAnsi="Arial" w:cs="Arial"/>
          <w:iCs/>
          <w:sz w:val="24"/>
          <w:szCs w:val="24"/>
          <w:lang w:val="en-US"/>
        </w:rPr>
        <w:t xml:space="preserve">alleged that Mr Hausiku on </w:t>
      </w:r>
      <w:r w:rsidR="008E17AB" w:rsidRPr="0080796E">
        <w:rPr>
          <w:rFonts w:ascii="Arial" w:hAnsi="Arial" w:cs="Arial"/>
          <w:iCs/>
          <w:sz w:val="24"/>
          <w:szCs w:val="24"/>
          <w:lang w:val="en-US"/>
        </w:rPr>
        <w:t xml:space="preserve">its </w:t>
      </w:r>
      <w:r w:rsidR="00C508AD" w:rsidRPr="0080796E">
        <w:rPr>
          <w:rFonts w:ascii="Arial" w:hAnsi="Arial" w:cs="Arial"/>
          <w:iCs/>
          <w:sz w:val="24"/>
          <w:szCs w:val="24"/>
          <w:lang w:val="en-US"/>
        </w:rPr>
        <w:t xml:space="preserve">behalf and Mr Kashera representing the DTA </w:t>
      </w:r>
      <w:r w:rsidR="00C508AD" w:rsidRPr="0097492D">
        <w:rPr>
          <w:rFonts w:ascii="Arial" w:hAnsi="Arial" w:cs="Arial"/>
          <w:iCs/>
          <w:sz w:val="24"/>
          <w:szCs w:val="24"/>
          <w:lang w:val="en-US"/>
        </w:rPr>
        <w:t>signed the deed of sale after Mr Kashera</w:t>
      </w:r>
      <w:r w:rsidR="0097492D" w:rsidRPr="0097492D">
        <w:rPr>
          <w:rFonts w:ascii="Arial" w:hAnsi="Arial" w:cs="Arial"/>
          <w:iCs/>
          <w:sz w:val="24"/>
          <w:szCs w:val="24"/>
          <w:lang w:val="en-US"/>
        </w:rPr>
        <w:t xml:space="preserve"> </w:t>
      </w:r>
      <w:r w:rsidR="00C508AD" w:rsidRPr="0097492D">
        <w:rPr>
          <w:rFonts w:ascii="Arial" w:hAnsi="Arial" w:cs="Arial"/>
          <w:iCs/>
          <w:sz w:val="24"/>
          <w:szCs w:val="24"/>
          <w:lang w:val="en-US"/>
        </w:rPr>
        <w:t>confirmed</w:t>
      </w:r>
      <w:r w:rsidR="00C508AD" w:rsidRPr="0080796E">
        <w:rPr>
          <w:rFonts w:ascii="Arial" w:hAnsi="Arial" w:cs="Arial"/>
          <w:iCs/>
          <w:sz w:val="24"/>
          <w:szCs w:val="24"/>
          <w:lang w:val="en-US"/>
        </w:rPr>
        <w:t xml:space="preserve"> to </w:t>
      </w:r>
      <w:r w:rsidR="00F355DB" w:rsidRPr="0080796E">
        <w:rPr>
          <w:rFonts w:ascii="Arial" w:hAnsi="Arial" w:cs="Arial"/>
          <w:iCs/>
          <w:sz w:val="24"/>
          <w:szCs w:val="24"/>
          <w:lang w:val="en-US"/>
        </w:rPr>
        <w:t xml:space="preserve">Mr </w:t>
      </w:r>
      <w:r w:rsidR="00C508AD" w:rsidRPr="0080796E">
        <w:rPr>
          <w:rFonts w:ascii="Arial" w:hAnsi="Arial" w:cs="Arial"/>
          <w:iCs/>
          <w:sz w:val="24"/>
          <w:szCs w:val="24"/>
          <w:lang w:val="en-US"/>
        </w:rPr>
        <w:t>Hausiku and the conveyancers that the</w:t>
      </w:r>
      <w:r w:rsidR="00D33BFC">
        <w:rPr>
          <w:rFonts w:ascii="Arial" w:hAnsi="Arial" w:cs="Arial"/>
          <w:iCs/>
          <w:sz w:val="24"/>
          <w:szCs w:val="24"/>
          <w:lang w:val="en-US"/>
        </w:rPr>
        <w:t>y</w:t>
      </w:r>
      <w:r w:rsidR="00C508AD" w:rsidRPr="0080796E">
        <w:rPr>
          <w:rFonts w:ascii="Arial" w:hAnsi="Arial" w:cs="Arial"/>
          <w:iCs/>
          <w:sz w:val="24"/>
          <w:szCs w:val="24"/>
          <w:lang w:val="en-US"/>
        </w:rPr>
        <w:t xml:space="preserve"> were </w:t>
      </w:r>
      <w:r w:rsidRPr="0080796E">
        <w:rPr>
          <w:rFonts w:ascii="Arial" w:hAnsi="Arial" w:cs="Arial"/>
          <w:iCs/>
          <w:sz w:val="24"/>
          <w:szCs w:val="24"/>
          <w:lang w:val="en-US"/>
        </w:rPr>
        <w:t xml:space="preserve">duly </w:t>
      </w:r>
      <w:r w:rsidR="00C508AD" w:rsidRPr="0080796E">
        <w:rPr>
          <w:rFonts w:ascii="Arial" w:hAnsi="Arial" w:cs="Arial"/>
          <w:iCs/>
          <w:sz w:val="24"/>
          <w:szCs w:val="24"/>
          <w:lang w:val="en-US"/>
        </w:rPr>
        <w:t>authorised to enter into the transaction.</w:t>
      </w:r>
    </w:p>
    <w:p w14:paraId="665BD250" w14:textId="77777777" w:rsidR="00C508AD" w:rsidRPr="0080796E" w:rsidRDefault="00C508AD" w:rsidP="00F355DB">
      <w:pPr>
        <w:pStyle w:val="ListParagraph"/>
        <w:spacing w:line="480" w:lineRule="auto"/>
        <w:ind w:left="0"/>
        <w:jc w:val="both"/>
        <w:rPr>
          <w:rFonts w:ascii="Arial" w:hAnsi="Arial" w:cs="Arial"/>
          <w:iCs/>
          <w:lang w:val="en-US"/>
        </w:rPr>
      </w:pPr>
    </w:p>
    <w:p w14:paraId="0C4FD279" w14:textId="658058A7" w:rsidR="00EB35DB" w:rsidRPr="0080796E" w:rsidRDefault="00C508AD" w:rsidP="0080796E">
      <w:pPr>
        <w:pStyle w:val="NoSpacing"/>
        <w:numPr>
          <w:ilvl w:val="0"/>
          <w:numId w:val="7"/>
        </w:numPr>
        <w:spacing w:line="480" w:lineRule="auto"/>
        <w:ind w:left="0" w:firstLine="0"/>
        <w:jc w:val="both"/>
        <w:rPr>
          <w:rFonts w:ascii="Arial" w:hAnsi="Arial" w:cs="Arial"/>
          <w:sz w:val="24"/>
          <w:szCs w:val="24"/>
          <w:lang w:val="en-US"/>
        </w:rPr>
      </w:pPr>
      <w:r w:rsidRPr="0080796E">
        <w:rPr>
          <w:rFonts w:ascii="Arial" w:hAnsi="Arial" w:cs="Arial"/>
          <w:sz w:val="24"/>
          <w:szCs w:val="24"/>
          <w:lang w:val="en-US"/>
        </w:rPr>
        <w:t>According to River View</w:t>
      </w:r>
      <w:r w:rsidR="004C3724" w:rsidRPr="0080796E">
        <w:rPr>
          <w:rFonts w:ascii="Arial" w:hAnsi="Arial" w:cs="Arial"/>
          <w:sz w:val="24"/>
          <w:szCs w:val="24"/>
          <w:lang w:val="en-US"/>
        </w:rPr>
        <w:t>,</w:t>
      </w:r>
      <w:r w:rsidRPr="0080796E">
        <w:rPr>
          <w:rFonts w:ascii="Arial" w:hAnsi="Arial" w:cs="Arial"/>
          <w:sz w:val="24"/>
          <w:szCs w:val="24"/>
          <w:lang w:val="en-US"/>
        </w:rPr>
        <w:t xml:space="preserve"> Mr Kashera acted in the same representative capacity as Regional Organiser of DTA in concluding the transfer from the RTC to DTA and from the DTA to River View</w:t>
      </w:r>
      <w:r w:rsidR="00720A31" w:rsidRPr="0080796E">
        <w:rPr>
          <w:rFonts w:ascii="Arial" w:hAnsi="Arial" w:cs="Arial"/>
          <w:sz w:val="24"/>
          <w:szCs w:val="24"/>
          <w:lang w:val="en-US"/>
        </w:rPr>
        <w:t>.</w:t>
      </w:r>
      <w:r w:rsidRPr="0080796E">
        <w:rPr>
          <w:rFonts w:ascii="Arial" w:hAnsi="Arial" w:cs="Arial"/>
          <w:sz w:val="24"/>
          <w:szCs w:val="24"/>
          <w:lang w:val="en-US"/>
        </w:rPr>
        <w:t xml:space="preserve"> River View </w:t>
      </w:r>
      <w:r w:rsidR="00E520F0" w:rsidRPr="0080796E">
        <w:rPr>
          <w:rFonts w:ascii="Arial" w:hAnsi="Arial" w:cs="Arial"/>
          <w:sz w:val="24"/>
          <w:szCs w:val="24"/>
          <w:lang w:val="en-US"/>
        </w:rPr>
        <w:t xml:space="preserve">thus </w:t>
      </w:r>
      <w:r w:rsidRPr="0080796E">
        <w:rPr>
          <w:rFonts w:ascii="Arial" w:hAnsi="Arial" w:cs="Arial"/>
          <w:sz w:val="24"/>
          <w:szCs w:val="24"/>
          <w:lang w:val="en-US"/>
        </w:rPr>
        <w:t xml:space="preserve">acted on the correctness of the representation made by </w:t>
      </w:r>
      <w:r w:rsidR="008E17AB" w:rsidRPr="0080796E">
        <w:rPr>
          <w:rFonts w:ascii="Arial" w:hAnsi="Arial" w:cs="Arial"/>
          <w:sz w:val="24"/>
          <w:szCs w:val="24"/>
          <w:lang w:val="en-US"/>
        </w:rPr>
        <w:t xml:space="preserve">Mr </w:t>
      </w:r>
      <w:r w:rsidRPr="0080796E">
        <w:rPr>
          <w:rFonts w:ascii="Arial" w:hAnsi="Arial" w:cs="Arial"/>
          <w:sz w:val="24"/>
          <w:szCs w:val="24"/>
          <w:lang w:val="en-US"/>
        </w:rPr>
        <w:t>Kashera as DTA’s office bearer.</w:t>
      </w:r>
      <w:r w:rsidR="00F355DB" w:rsidRPr="0080796E">
        <w:rPr>
          <w:rFonts w:ascii="Arial" w:hAnsi="Arial" w:cs="Arial"/>
          <w:sz w:val="24"/>
          <w:szCs w:val="24"/>
          <w:lang w:val="en-US"/>
        </w:rPr>
        <w:t xml:space="preserve"> It is alleged that t</w:t>
      </w:r>
      <w:r w:rsidRPr="0080796E">
        <w:rPr>
          <w:rFonts w:ascii="Arial" w:hAnsi="Arial" w:cs="Arial"/>
          <w:sz w:val="24"/>
          <w:szCs w:val="24"/>
          <w:lang w:val="en-US"/>
        </w:rPr>
        <w:t>he representation</w:t>
      </w:r>
      <w:r w:rsidR="007D16CD" w:rsidRPr="0080796E">
        <w:rPr>
          <w:rFonts w:ascii="Arial" w:hAnsi="Arial" w:cs="Arial"/>
          <w:sz w:val="24"/>
          <w:szCs w:val="24"/>
          <w:lang w:val="en-US"/>
        </w:rPr>
        <w:t xml:space="preserve"> made by Mr Kashera</w:t>
      </w:r>
      <w:r w:rsidRPr="0080796E">
        <w:rPr>
          <w:rFonts w:ascii="Arial" w:hAnsi="Arial" w:cs="Arial"/>
          <w:sz w:val="24"/>
          <w:szCs w:val="24"/>
          <w:lang w:val="en-US"/>
        </w:rPr>
        <w:t xml:space="preserve"> w</w:t>
      </w:r>
      <w:r w:rsidR="00E520F0" w:rsidRPr="0080796E">
        <w:rPr>
          <w:rFonts w:ascii="Arial" w:hAnsi="Arial" w:cs="Arial"/>
          <w:sz w:val="24"/>
          <w:szCs w:val="24"/>
          <w:lang w:val="en-US"/>
        </w:rPr>
        <w:t xml:space="preserve">as </w:t>
      </w:r>
      <w:r w:rsidR="00C37D2F">
        <w:rPr>
          <w:rFonts w:ascii="Arial" w:hAnsi="Arial" w:cs="Arial"/>
          <w:sz w:val="24"/>
          <w:szCs w:val="24"/>
          <w:lang w:val="en-US"/>
        </w:rPr>
        <w:t xml:space="preserve">by word and conduct, </w:t>
      </w:r>
      <w:r w:rsidRPr="0080796E">
        <w:rPr>
          <w:rFonts w:ascii="Arial" w:hAnsi="Arial" w:cs="Arial"/>
          <w:sz w:val="24"/>
          <w:szCs w:val="24"/>
          <w:lang w:val="en-US"/>
        </w:rPr>
        <w:t>and w</w:t>
      </w:r>
      <w:r w:rsidR="00E520F0" w:rsidRPr="0080796E">
        <w:rPr>
          <w:rFonts w:ascii="Arial" w:hAnsi="Arial" w:cs="Arial"/>
          <w:sz w:val="24"/>
          <w:szCs w:val="24"/>
          <w:lang w:val="en-US"/>
        </w:rPr>
        <w:t xml:space="preserve">as </w:t>
      </w:r>
      <w:r w:rsidRPr="0080796E">
        <w:rPr>
          <w:rFonts w:ascii="Arial" w:hAnsi="Arial" w:cs="Arial"/>
          <w:sz w:val="24"/>
          <w:szCs w:val="24"/>
          <w:lang w:val="en-US"/>
        </w:rPr>
        <w:t>clear and unequivocal</w:t>
      </w:r>
      <w:r w:rsidR="00E520F0" w:rsidRPr="0080796E">
        <w:rPr>
          <w:rFonts w:ascii="Arial" w:hAnsi="Arial" w:cs="Arial"/>
          <w:sz w:val="24"/>
          <w:szCs w:val="24"/>
          <w:lang w:val="en-US"/>
        </w:rPr>
        <w:t>.</w:t>
      </w:r>
      <w:r w:rsidRPr="0080796E">
        <w:rPr>
          <w:rFonts w:ascii="Arial" w:hAnsi="Arial" w:cs="Arial"/>
          <w:sz w:val="24"/>
          <w:szCs w:val="24"/>
          <w:lang w:val="en-US"/>
        </w:rPr>
        <w:t xml:space="preserve"> </w:t>
      </w:r>
      <w:r w:rsidR="00E520F0" w:rsidRPr="0080796E">
        <w:rPr>
          <w:rFonts w:ascii="Arial" w:hAnsi="Arial" w:cs="Arial"/>
          <w:sz w:val="24"/>
          <w:szCs w:val="24"/>
          <w:lang w:val="en-US"/>
        </w:rPr>
        <w:t>B</w:t>
      </w:r>
      <w:r w:rsidRPr="0080796E">
        <w:rPr>
          <w:rFonts w:ascii="Arial" w:hAnsi="Arial" w:cs="Arial"/>
          <w:sz w:val="24"/>
          <w:szCs w:val="24"/>
          <w:lang w:val="en-US"/>
        </w:rPr>
        <w:t>elieving the representation</w:t>
      </w:r>
      <w:r w:rsidR="00E520F0" w:rsidRPr="0080796E">
        <w:rPr>
          <w:rFonts w:ascii="Arial" w:hAnsi="Arial" w:cs="Arial"/>
          <w:sz w:val="24"/>
          <w:szCs w:val="24"/>
          <w:lang w:val="en-US"/>
        </w:rPr>
        <w:t>s</w:t>
      </w:r>
      <w:r w:rsidRPr="0080796E">
        <w:rPr>
          <w:rFonts w:ascii="Arial" w:hAnsi="Arial" w:cs="Arial"/>
          <w:sz w:val="24"/>
          <w:szCs w:val="24"/>
          <w:lang w:val="en-US"/>
        </w:rPr>
        <w:t xml:space="preserve"> to be true, </w:t>
      </w:r>
      <w:r w:rsidR="00720A31" w:rsidRPr="0080796E">
        <w:rPr>
          <w:rFonts w:ascii="Arial" w:hAnsi="Arial" w:cs="Arial"/>
          <w:sz w:val="24"/>
          <w:szCs w:val="24"/>
          <w:lang w:val="en-US"/>
        </w:rPr>
        <w:t xml:space="preserve">Mr Hausiku on behalf of </w:t>
      </w:r>
      <w:r w:rsidRPr="0080796E">
        <w:rPr>
          <w:rFonts w:ascii="Arial" w:hAnsi="Arial" w:cs="Arial"/>
          <w:sz w:val="24"/>
          <w:szCs w:val="24"/>
          <w:lang w:val="en-US"/>
        </w:rPr>
        <w:t>River View acted on the correctness of the facts re</w:t>
      </w:r>
      <w:r w:rsidR="002D57D1">
        <w:rPr>
          <w:rFonts w:ascii="Arial" w:hAnsi="Arial" w:cs="Arial"/>
          <w:sz w:val="24"/>
          <w:szCs w:val="24"/>
          <w:lang w:val="en-US"/>
        </w:rPr>
        <w:t>presented by DTA’s employee and/</w:t>
      </w:r>
      <w:r w:rsidRPr="0080796E">
        <w:rPr>
          <w:rFonts w:ascii="Arial" w:hAnsi="Arial" w:cs="Arial"/>
          <w:sz w:val="24"/>
          <w:szCs w:val="24"/>
          <w:lang w:val="en-US"/>
        </w:rPr>
        <w:t xml:space="preserve">or office bearer and DTA is estopped from denying the representation. </w:t>
      </w:r>
    </w:p>
    <w:p w14:paraId="6D4A25B9" w14:textId="77777777" w:rsidR="00EB35DB" w:rsidRDefault="00EB35DB" w:rsidP="00F355DB">
      <w:pPr>
        <w:spacing w:line="480" w:lineRule="auto"/>
        <w:jc w:val="both"/>
        <w:rPr>
          <w:rFonts w:ascii="Arial" w:hAnsi="Arial" w:cs="Arial"/>
          <w:u w:val="single"/>
          <w:lang w:val="en-US"/>
        </w:rPr>
      </w:pPr>
    </w:p>
    <w:p w14:paraId="4BEFB390" w14:textId="77777777" w:rsidR="008F2CAE" w:rsidRDefault="008F2CAE">
      <w:pPr>
        <w:rPr>
          <w:rFonts w:ascii="Arial" w:hAnsi="Arial" w:cs="Arial"/>
          <w:u w:val="single"/>
          <w:lang w:val="en-US"/>
        </w:rPr>
      </w:pPr>
      <w:r>
        <w:rPr>
          <w:rFonts w:ascii="Arial" w:hAnsi="Arial" w:cs="Arial"/>
          <w:u w:val="single"/>
          <w:lang w:val="en-US"/>
        </w:rPr>
        <w:br w:type="page"/>
      </w:r>
    </w:p>
    <w:p w14:paraId="164DCB88" w14:textId="65D588D8" w:rsidR="00582FA5" w:rsidRPr="00582FA5" w:rsidRDefault="005B549C" w:rsidP="00F355DB">
      <w:pPr>
        <w:spacing w:line="480" w:lineRule="auto"/>
        <w:jc w:val="both"/>
        <w:rPr>
          <w:rFonts w:ascii="Arial" w:hAnsi="Arial" w:cs="Arial"/>
          <w:u w:val="single"/>
          <w:lang w:val="en-US"/>
        </w:rPr>
      </w:pPr>
      <w:r>
        <w:rPr>
          <w:rFonts w:ascii="Arial" w:hAnsi="Arial" w:cs="Arial"/>
          <w:u w:val="single"/>
          <w:lang w:val="en-US"/>
        </w:rPr>
        <w:lastRenderedPageBreak/>
        <w:t>U</w:t>
      </w:r>
      <w:r w:rsidR="008F709A" w:rsidRPr="008F709A">
        <w:rPr>
          <w:rFonts w:ascii="Arial" w:hAnsi="Arial" w:cs="Arial"/>
          <w:u w:val="single"/>
          <w:lang w:val="en-US"/>
        </w:rPr>
        <w:t>ndisputed facts</w:t>
      </w:r>
    </w:p>
    <w:p w14:paraId="37EF9935" w14:textId="5607E446" w:rsidR="000054F4" w:rsidRPr="0080796E" w:rsidRDefault="008F709A" w:rsidP="0080796E">
      <w:pPr>
        <w:pStyle w:val="NoSpacing"/>
        <w:numPr>
          <w:ilvl w:val="0"/>
          <w:numId w:val="7"/>
        </w:numPr>
        <w:spacing w:line="480" w:lineRule="auto"/>
        <w:ind w:left="0" w:firstLine="0"/>
        <w:jc w:val="both"/>
        <w:rPr>
          <w:rFonts w:ascii="Arial" w:hAnsi="Arial" w:cs="Arial"/>
          <w:sz w:val="24"/>
          <w:szCs w:val="24"/>
          <w:lang w:val="en-US"/>
        </w:rPr>
      </w:pPr>
      <w:r w:rsidRPr="0080796E">
        <w:rPr>
          <w:rFonts w:ascii="Arial" w:hAnsi="Arial" w:cs="Arial"/>
          <w:sz w:val="24"/>
          <w:szCs w:val="24"/>
          <w:lang w:val="en-US"/>
        </w:rPr>
        <w:t xml:space="preserve">The </w:t>
      </w:r>
      <w:r w:rsidR="000054F4" w:rsidRPr="0080796E">
        <w:rPr>
          <w:rFonts w:ascii="Arial" w:hAnsi="Arial" w:cs="Arial"/>
          <w:sz w:val="24"/>
          <w:szCs w:val="24"/>
          <w:lang w:val="en-US"/>
        </w:rPr>
        <w:t>DTA</w:t>
      </w:r>
      <w:r w:rsidRPr="0080796E">
        <w:rPr>
          <w:rFonts w:ascii="Arial" w:hAnsi="Arial" w:cs="Arial"/>
          <w:sz w:val="24"/>
          <w:szCs w:val="24"/>
          <w:lang w:val="en-US"/>
        </w:rPr>
        <w:t xml:space="preserve"> </w:t>
      </w:r>
      <w:r w:rsidR="00881CA9" w:rsidRPr="0080796E">
        <w:rPr>
          <w:rFonts w:ascii="Arial" w:hAnsi="Arial" w:cs="Arial"/>
          <w:sz w:val="24"/>
          <w:szCs w:val="24"/>
          <w:lang w:val="en-US"/>
        </w:rPr>
        <w:t>is a political party with a constitution</w:t>
      </w:r>
      <w:r w:rsidR="000054F4" w:rsidRPr="0080796E">
        <w:rPr>
          <w:rFonts w:ascii="Arial" w:hAnsi="Arial" w:cs="Arial"/>
          <w:sz w:val="24"/>
          <w:szCs w:val="24"/>
          <w:lang w:val="en-US"/>
        </w:rPr>
        <w:t xml:space="preserve"> (the Party constitution)</w:t>
      </w:r>
      <w:r w:rsidR="00881CA9" w:rsidRPr="0080796E">
        <w:rPr>
          <w:rFonts w:ascii="Arial" w:hAnsi="Arial" w:cs="Arial"/>
          <w:sz w:val="24"/>
          <w:szCs w:val="24"/>
          <w:lang w:val="en-US"/>
        </w:rPr>
        <w:t>.</w:t>
      </w:r>
      <w:r w:rsidR="00512F92" w:rsidRPr="0080796E">
        <w:rPr>
          <w:rFonts w:ascii="Arial" w:hAnsi="Arial" w:cs="Arial"/>
          <w:sz w:val="24"/>
          <w:szCs w:val="24"/>
          <w:lang w:val="en-US"/>
        </w:rPr>
        <w:t xml:space="preserve"> </w:t>
      </w:r>
      <w:r w:rsidR="00881CA9" w:rsidRPr="0080796E">
        <w:rPr>
          <w:rFonts w:ascii="Arial" w:hAnsi="Arial" w:cs="Arial"/>
          <w:sz w:val="24"/>
          <w:szCs w:val="24"/>
          <w:lang w:val="en-US"/>
        </w:rPr>
        <w:t>Th</w:t>
      </w:r>
      <w:r w:rsidR="00E918FE" w:rsidRPr="0080796E">
        <w:rPr>
          <w:rFonts w:ascii="Arial" w:hAnsi="Arial" w:cs="Arial"/>
          <w:sz w:val="24"/>
          <w:szCs w:val="24"/>
          <w:lang w:val="en-US"/>
        </w:rPr>
        <w:t xml:space="preserve">e </w:t>
      </w:r>
      <w:r w:rsidR="000054F4" w:rsidRPr="0080796E">
        <w:rPr>
          <w:rFonts w:ascii="Arial" w:hAnsi="Arial" w:cs="Arial"/>
          <w:sz w:val="24"/>
          <w:szCs w:val="24"/>
          <w:lang w:val="en-US"/>
        </w:rPr>
        <w:t xml:space="preserve">Party </w:t>
      </w:r>
      <w:r w:rsidR="00881CA9" w:rsidRPr="0080796E">
        <w:rPr>
          <w:rFonts w:ascii="Arial" w:hAnsi="Arial" w:cs="Arial"/>
          <w:sz w:val="24"/>
          <w:szCs w:val="24"/>
          <w:lang w:val="en-US"/>
        </w:rPr>
        <w:t xml:space="preserve">constitution spells out the decision-making processes within the </w:t>
      </w:r>
      <w:r w:rsidR="000054F4" w:rsidRPr="0080796E">
        <w:rPr>
          <w:rFonts w:ascii="Arial" w:hAnsi="Arial" w:cs="Arial"/>
          <w:sz w:val="24"/>
          <w:szCs w:val="24"/>
          <w:lang w:val="en-US"/>
        </w:rPr>
        <w:t>DTA</w:t>
      </w:r>
      <w:r w:rsidR="00881CA9" w:rsidRPr="0080796E">
        <w:rPr>
          <w:rFonts w:ascii="Arial" w:hAnsi="Arial" w:cs="Arial"/>
          <w:sz w:val="24"/>
          <w:szCs w:val="24"/>
          <w:lang w:val="en-US"/>
        </w:rPr>
        <w:t xml:space="preserve"> including how it may dispose of its assets.</w:t>
      </w:r>
      <w:r w:rsidR="000054F4" w:rsidRPr="0080796E">
        <w:rPr>
          <w:rFonts w:ascii="Arial" w:hAnsi="Arial" w:cs="Arial"/>
          <w:sz w:val="24"/>
          <w:szCs w:val="24"/>
          <w:lang w:val="en-US"/>
        </w:rPr>
        <w:t xml:space="preserve"> Clause 22.3 of the Part</w:t>
      </w:r>
      <w:r w:rsidR="00D33BFC">
        <w:rPr>
          <w:rFonts w:ascii="Arial" w:hAnsi="Arial" w:cs="Arial"/>
          <w:sz w:val="24"/>
          <w:szCs w:val="24"/>
          <w:lang w:val="en-US"/>
        </w:rPr>
        <w:t xml:space="preserve">y constitution empowers the DTA </w:t>
      </w:r>
      <w:r w:rsidR="000054F4" w:rsidRPr="0080796E">
        <w:rPr>
          <w:rFonts w:ascii="Arial" w:hAnsi="Arial" w:cs="Arial"/>
          <w:sz w:val="24"/>
          <w:szCs w:val="24"/>
          <w:lang w:val="en-US"/>
        </w:rPr>
        <w:t xml:space="preserve">to ‘sell, let, hypothecate, pawn, alienate, exchange, donate, develop, improve or deal in any way or means with its assets’. </w:t>
      </w:r>
      <w:r w:rsidR="00F70C0F" w:rsidRPr="0080796E">
        <w:rPr>
          <w:rFonts w:ascii="Arial" w:hAnsi="Arial" w:cs="Arial"/>
          <w:sz w:val="24"/>
          <w:szCs w:val="24"/>
          <w:lang w:val="en-US"/>
        </w:rPr>
        <w:t>In terms of</w:t>
      </w:r>
      <w:r w:rsidR="000054F4" w:rsidRPr="0080796E">
        <w:rPr>
          <w:rFonts w:ascii="Arial" w:hAnsi="Arial" w:cs="Arial"/>
          <w:sz w:val="24"/>
          <w:szCs w:val="24"/>
          <w:lang w:val="en-US"/>
        </w:rPr>
        <w:t xml:space="preserve"> </w:t>
      </w:r>
      <w:r w:rsidR="00F70C0F" w:rsidRPr="0080796E">
        <w:rPr>
          <w:rFonts w:ascii="Arial" w:hAnsi="Arial" w:cs="Arial"/>
          <w:sz w:val="24"/>
          <w:szCs w:val="24"/>
          <w:lang w:val="en-US"/>
        </w:rPr>
        <w:t xml:space="preserve">clause 15.2.1, the </w:t>
      </w:r>
      <w:r w:rsidR="000054F4" w:rsidRPr="0080796E">
        <w:rPr>
          <w:rFonts w:ascii="Arial" w:hAnsi="Arial" w:cs="Arial"/>
          <w:sz w:val="24"/>
          <w:szCs w:val="24"/>
          <w:lang w:val="en-US"/>
        </w:rPr>
        <w:t>‘</w:t>
      </w:r>
      <w:r w:rsidR="00F70C0F" w:rsidRPr="0080796E">
        <w:rPr>
          <w:rFonts w:ascii="Arial" w:hAnsi="Arial" w:cs="Arial"/>
          <w:sz w:val="24"/>
          <w:szCs w:val="24"/>
          <w:lang w:val="en-US"/>
        </w:rPr>
        <w:t>Central Committee</w:t>
      </w:r>
      <w:r w:rsidR="000054F4" w:rsidRPr="0080796E">
        <w:rPr>
          <w:rFonts w:ascii="Arial" w:hAnsi="Arial" w:cs="Arial"/>
          <w:sz w:val="24"/>
          <w:szCs w:val="24"/>
          <w:lang w:val="en-US"/>
        </w:rPr>
        <w:t>’</w:t>
      </w:r>
      <w:r w:rsidR="00F70C0F" w:rsidRPr="0080796E">
        <w:rPr>
          <w:rFonts w:ascii="Arial" w:hAnsi="Arial" w:cs="Arial"/>
          <w:sz w:val="24"/>
          <w:szCs w:val="24"/>
          <w:lang w:val="en-US"/>
        </w:rPr>
        <w:t xml:space="preserve"> ‘is the highest executive body’ which ‘supervises subordinate bodies’ and ‘executes all actions which are deemed to be in the interest of the DTA’. </w:t>
      </w:r>
      <w:r w:rsidR="000054F4" w:rsidRPr="0080796E">
        <w:rPr>
          <w:rFonts w:ascii="Arial" w:hAnsi="Arial" w:cs="Arial"/>
          <w:sz w:val="24"/>
          <w:szCs w:val="24"/>
          <w:lang w:val="en-US"/>
        </w:rPr>
        <w:t xml:space="preserve">According to </w:t>
      </w:r>
      <w:r w:rsidR="00F70C0F" w:rsidRPr="0080796E">
        <w:rPr>
          <w:rFonts w:ascii="Arial" w:hAnsi="Arial" w:cs="Arial"/>
          <w:sz w:val="24"/>
          <w:szCs w:val="24"/>
          <w:lang w:val="en-US"/>
        </w:rPr>
        <w:t>clause 15.2.2</w:t>
      </w:r>
      <w:r w:rsidR="00720A31" w:rsidRPr="0080796E">
        <w:rPr>
          <w:rFonts w:ascii="Arial" w:hAnsi="Arial" w:cs="Arial"/>
          <w:sz w:val="24"/>
          <w:szCs w:val="24"/>
          <w:lang w:val="en-US"/>
        </w:rPr>
        <w:t>,</w:t>
      </w:r>
      <w:r w:rsidR="00F70C0F" w:rsidRPr="0080796E">
        <w:rPr>
          <w:rFonts w:ascii="Arial" w:hAnsi="Arial" w:cs="Arial"/>
          <w:sz w:val="24"/>
          <w:szCs w:val="24"/>
          <w:lang w:val="en-US"/>
        </w:rPr>
        <w:t xml:space="preserve"> the central committee ‘Controls and manages the funds, assets and liabilities of the DTA at its discretion.’</w:t>
      </w:r>
      <w:r w:rsidR="001F1893" w:rsidRPr="0080796E">
        <w:rPr>
          <w:rFonts w:ascii="Arial" w:hAnsi="Arial" w:cs="Arial"/>
          <w:sz w:val="24"/>
          <w:szCs w:val="24"/>
          <w:lang w:val="en-US"/>
        </w:rPr>
        <w:t xml:space="preserve"> </w:t>
      </w:r>
    </w:p>
    <w:p w14:paraId="7DA08CB7" w14:textId="77777777" w:rsidR="000054F4" w:rsidRPr="0080796E" w:rsidRDefault="000054F4" w:rsidP="00F355DB">
      <w:pPr>
        <w:spacing w:line="480" w:lineRule="auto"/>
        <w:jc w:val="both"/>
        <w:rPr>
          <w:rFonts w:ascii="Arial" w:hAnsi="Arial" w:cs="Arial"/>
          <w:lang w:val="en-US"/>
        </w:rPr>
      </w:pPr>
    </w:p>
    <w:p w14:paraId="5B7342E8" w14:textId="2B6406F8" w:rsidR="001F1893" w:rsidRPr="0080796E" w:rsidRDefault="00475F2D" w:rsidP="0080796E">
      <w:pPr>
        <w:pStyle w:val="NoSpacing"/>
        <w:numPr>
          <w:ilvl w:val="0"/>
          <w:numId w:val="7"/>
        </w:numPr>
        <w:spacing w:line="480" w:lineRule="auto"/>
        <w:ind w:left="0" w:firstLine="0"/>
        <w:jc w:val="both"/>
        <w:rPr>
          <w:rFonts w:ascii="Arial" w:hAnsi="Arial" w:cs="Arial"/>
          <w:sz w:val="24"/>
          <w:szCs w:val="24"/>
          <w:lang w:val="en-US"/>
        </w:rPr>
      </w:pPr>
      <w:r w:rsidRPr="00C37D2F">
        <w:rPr>
          <w:rFonts w:ascii="Arial" w:hAnsi="Arial" w:cs="Arial"/>
          <w:sz w:val="24"/>
          <w:szCs w:val="24"/>
          <w:lang w:val="en-US"/>
        </w:rPr>
        <w:t>Below</w:t>
      </w:r>
      <w:r w:rsidR="000054F4" w:rsidRPr="00C37D2F">
        <w:rPr>
          <w:rFonts w:ascii="Arial" w:hAnsi="Arial" w:cs="Arial"/>
          <w:sz w:val="24"/>
          <w:szCs w:val="24"/>
          <w:lang w:val="en-US"/>
        </w:rPr>
        <w:t xml:space="preserve"> the central committee</w:t>
      </w:r>
      <w:r w:rsidR="000054F4" w:rsidRPr="0080796E">
        <w:rPr>
          <w:rFonts w:ascii="Arial" w:hAnsi="Arial" w:cs="Arial"/>
          <w:sz w:val="24"/>
          <w:szCs w:val="24"/>
          <w:lang w:val="en-US"/>
        </w:rPr>
        <w:t xml:space="preserve"> is the ‘Executive C</w:t>
      </w:r>
      <w:r w:rsidRPr="0080796E">
        <w:rPr>
          <w:rFonts w:ascii="Arial" w:hAnsi="Arial" w:cs="Arial"/>
          <w:sz w:val="24"/>
          <w:szCs w:val="24"/>
          <w:lang w:val="en-US"/>
        </w:rPr>
        <w:t xml:space="preserve">ommittee’ described as </w:t>
      </w:r>
      <w:r w:rsidR="00720A31" w:rsidRPr="0080796E">
        <w:rPr>
          <w:rFonts w:ascii="Arial" w:hAnsi="Arial" w:cs="Arial"/>
          <w:sz w:val="24"/>
          <w:szCs w:val="24"/>
          <w:lang w:val="en-US"/>
        </w:rPr>
        <w:t>‘</w:t>
      </w:r>
      <w:r w:rsidRPr="0080796E">
        <w:rPr>
          <w:rFonts w:ascii="Arial" w:hAnsi="Arial" w:cs="Arial"/>
          <w:sz w:val="24"/>
          <w:szCs w:val="24"/>
          <w:lang w:val="en-US"/>
        </w:rPr>
        <w:t>the executive power and authority of the DTA and is vested with all the power and authority of the Central Committee when the Central Committee is not in session</w:t>
      </w:r>
      <w:r w:rsidR="002D57D1">
        <w:rPr>
          <w:rFonts w:ascii="Arial" w:hAnsi="Arial" w:cs="Arial"/>
          <w:sz w:val="24"/>
          <w:szCs w:val="24"/>
          <w:lang w:val="en-US"/>
        </w:rPr>
        <w:t xml:space="preserve"> </w:t>
      </w:r>
      <w:r w:rsidR="008F2CAE">
        <w:rPr>
          <w:rFonts w:ascii="Arial" w:hAnsi="Arial" w:cs="Arial"/>
          <w:sz w:val="24"/>
          <w:szCs w:val="24"/>
          <w:lang w:val="en-US"/>
        </w:rPr>
        <w:t>. . .</w:t>
      </w:r>
      <w:r w:rsidR="002D57D1">
        <w:rPr>
          <w:rFonts w:ascii="Arial" w:hAnsi="Arial" w:cs="Arial"/>
          <w:sz w:val="24"/>
          <w:szCs w:val="24"/>
          <w:lang w:val="en-US"/>
        </w:rPr>
        <w:t xml:space="preserve"> .’</w:t>
      </w:r>
      <w:r w:rsidR="008F2CAE">
        <w:rPr>
          <w:rFonts w:ascii="Arial" w:hAnsi="Arial" w:cs="Arial"/>
          <w:sz w:val="24"/>
          <w:szCs w:val="24"/>
          <w:lang w:val="en-US"/>
        </w:rPr>
        <w:t xml:space="preserve"> </w:t>
      </w:r>
      <w:r w:rsidR="000054F4" w:rsidRPr="0080796E">
        <w:rPr>
          <w:rFonts w:ascii="Arial" w:hAnsi="Arial" w:cs="Arial"/>
          <w:sz w:val="24"/>
          <w:szCs w:val="24"/>
          <w:lang w:val="en-US"/>
        </w:rPr>
        <w:t>The</w:t>
      </w:r>
      <w:r w:rsidR="00D33BFC">
        <w:rPr>
          <w:rFonts w:ascii="Arial" w:hAnsi="Arial" w:cs="Arial"/>
          <w:sz w:val="24"/>
          <w:szCs w:val="24"/>
          <w:lang w:val="en-US"/>
        </w:rPr>
        <w:t xml:space="preserve">n there is </w:t>
      </w:r>
      <w:r w:rsidR="00D46C4C">
        <w:rPr>
          <w:rFonts w:ascii="Arial" w:hAnsi="Arial" w:cs="Arial"/>
          <w:sz w:val="24"/>
          <w:szCs w:val="24"/>
          <w:lang w:val="en-US"/>
        </w:rPr>
        <w:t xml:space="preserve">the </w:t>
      </w:r>
      <w:r w:rsidR="00D46C4C" w:rsidRPr="0080796E">
        <w:rPr>
          <w:rFonts w:ascii="Arial" w:hAnsi="Arial" w:cs="Arial"/>
          <w:sz w:val="24"/>
          <w:szCs w:val="24"/>
          <w:lang w:val="en-US"/>
        </w:rPr>
        <w:t>‘Management</w:t>
      </w:r>
      <w:r w:rsidR="000054F4" w:rsidRPr="0080796E">
        <w:rPr>
          <w:rFonts w:ascii="Arial" w:hAnsi="Arial" w:cs="Arial"/>
          <w:sz w:val="24"/>
          <w:szCs w:val="24"/>
          <w:lang w:val="en-US"/>
        </w:rPr>
        <w:t xml:space="preserve"> C</w:t>
      </w:r>
      <w:r w:rsidR="00177F1B" w:rsidRPr="0080796E">
        <w:rPr>
          <w:rFonts w:ascii="Arial" w:hAnsi="Arial" w:cs="Arial"/>
          <w:sz w:val="24"/>
          <w:szCs w:val="24"/>
          <w:lang w:val="en-US"/>
        </w:rPr>
        <w:t>ommittee</w:t>
      </w:r>
      <w:r w:rsidR="000054F4" w:rsidRPr="0080796E">
        <w:rPr>
          <w:rFonts w:ascii="Arial" w:hAnsi="Arial" w:cs="Arial"/>
          <w:sz w:val="24"/>
          <w:szCs w:val="24"/>
          <w:lang w:val="en-US"/>
        </w:rPr>
        <w:t>’</w:t>
      </w:r>
      <w:r w:rsidR="00177F1B" w:rsidRPr="0080796E">
        <w:rPr>
          <w:rFonts w:ascii="Arial" w:hAnsi="Arial" w:cs="Arial"/>
          <w:sz w:val="24"/>
          <w:szCs w:val="24"/>
          <w:lang w:val="en-US"/>
        </w:rPr>
        <w:t xml:space="preserve"> </w:t>
      </w:r>
      <w:r w:rsidR="00D33BFC">
        <w:rPr>
          <w:rFonts w:ascii="Arial" w:hAnsi="Arial" w:cs="Arial"/>
          <w:sz w:val="24"/>
          <w:szCs w:val="24"/>
          <w:lang w:val="en-US"/>
        </w:rPr>
        <w:t xml:space="preserve">which </w:t>
      </w:r>
      <w:r w:rsidR="00177F1B" w:rsidRPr="0080796E">
        <w:rPr>
          <w:rFonts w:ascii="Arial" w:hAnsi="Arial" w:cs="Arial"/>
          <w:sz w:val="24"/>
          <w:szCs w:val="24"/>
          <w:lang w:val="en-US"/>
        </w:rPr>
        <w:t xml:space="preserve">‘is unrestrictedly empowered, subject only to broad guidelines determined by the Central Committee to deal with all the assets or properties of the DTA and to bind the DTA’s credit as described in </w:t>
      </w:r>
      <w:r w:rsidR="002F4220" w:rsidRPr="0080796E">
        <w:rPr>
          <w:rFonts w:ascii="Arial" w:hAnsi="Arial" w:cs="Arial"/>
          <w:sz w:val="24"/>
          <w:szCs w:val="24"/>
          <w:lang w:val="en-US"/>
        </w:rPr>
        <w:t>22.3 and is furthermore empowered to delegate any of its powers and authority to a member or members of the Secretariat with the power of substitution’.</w:t>
      </w:r>
      <w:r w:rsidR="00A7766F" w:rsidRPr="0080796E">
        <w:rPr>
          <w:rFonts w:ascii="Arial" w:hAnsi="Arial" w:cs="Arial"/>
          <w:sz w:val="24"/>
          <w:szCs w:val="24"/>
          <w:lang w:val="en-US"/>
        </w:rPr>
        <w:t xml:space="preserve"> The secretariat comprises the administrative secretary, an assistant administrative</w:t>
      </w:r>
      <w:r w:rsidR="005B549C" w:rsidRPr="0080796E">
        <w:rPr>
          <w:rFonts w:ascii="Arial" w:hAnsi="Arial" w:cs="Arial"/>
          <w:sz w:val="24"/>
          <w:szCs w:val="24"/>
          <w:lang w:val="en-US"/>
        </w:rPr>
        <w:t xml:space="preserve"> secretary</w:t>
      </w:r>
      <w:r w:rsidRPr="0080796E">
        <w:rPr>
          <w:rFonts w:ascii="Arial" w:hAnsi="Arial" w:cs="Arial"/>
          <w:sz w:val="24"/>
          <w:szCs w:val="24"/>
          <w:lang w:val="en-US"/>
        </w:rPr>
        <w:t xml:space="preserve"> </w:t>
      </w:r>
      <w:r w:rsidR="00A7766F" w:rsidRPr="0080796E">
        <w:rPr>
          <w:rFonts w:ascii="Arial" w:hAnsi="Arial" w:cs="Arial"/>
          <w:sz w:val="24"/>
          <w:szCs w:val="24"/>
          <w:lang w:val="en-US"/>
        </w:rPr>
        <w:t>and secretaries and personnel.</w:t>
      </w:r>
    </w:p>
    <w:p w14:paraId="3DE93058" w14:textId="77777777" w:rsidR="00062313" w:rsidRDefault="00062313" w:rsidP="00F355DB">
      <w:pPr>
        <w:spacing w:line="480" w:lineRule="auto"/>
        <w:jc w:val="both"/>
        <w:rPr>
          <w:rFonts w:ascii="Arial" w:hAnsi="Arial" w:cs="Arial"/>
          <w:lang w:val="en-US"/>
        </w:rPr>
      </w:pPr>
    </w:p>
    <w:p w14:paraId="35F0881F" w14:textId="7C551BA8" w:rsidR="00062313" w:rsidRDefault="00062313" w:rsidP="0080796E">
      <w:pPr>
        <w:pStyle w:val="NoSpacing"/>
        <w:numPr>
          <w:ilvl w:val="0"/>
          <w:numId w:val="7"/>
        </w:numPr>
        <w:spacing w:line="480" w:lineRule="auto"/>
        <w:ind w:left="0" w:firstLine="0"/>
        <w:jc w:val="both"/>
        <w:rPr>
          <w:rFonts w:ascii="Arial" w:hAnsi="Arial" w:cs="Arial"/>
          <w:sz w:val="24"/>
          <w:szCs w:val="24"/>
          <w:lang w:val="en-US"/>
        </w:rPr>
      </w:pPr>
      <w:r w:rsidRPr="0080796E">
        <w:rPr>
          <w:rFonts w:ascii="Arial" w:hAnsi="Arial" w:cs="Arial"/>
          <w:sz w:val="24"/>
          <w:szCs w:val="24"/>
          <w:lang w:val="en-US"/>
        </w:rPr>
        <w:t>In terms of clause 22.2 of the Party constitution:</w:t>
      </w:r>
    </w:p>
    <w:p w14:paraId="04C8F83E" w14:textId="77777777" w:rsidR="002D57D1" w:rsidRPr="0080796E" w:rsidRDefault="002D57D1" w:rsidP="002D57D1">
      <w:pPr>
        <w:pStyle w:val="NoSpacing"/>
        <w:spacing w:line="480" w:lineRule="auto"/>
        <w:jc w:val="both"/>
        <w:rPr>
          <w:rFonts w:ascii="Arial" w:hAnsi="Arial" w:cs="Arial"/>
          <w:sz w:val="24"/>
          <w:szCs w:val="24"/>
          <w:lang w:val="en-US"/>
        </w:rPr>
      </w:pPr>
    </w:p>
    <w:p w14:paraId="1D05FF7A" w14:textId="0B5A5233" w:rsidR="00BD7AAB" w:rsidRPr="00E51C28" w:rsidRDefault="00062313" w:rsidP="007E16E4">
      <w:pPr>
        <w:spacing w:line="360" w:lineRule="auto"/>
        <w:ind w:left="720"/>
        <w:jc w:val="both"/>
        <w:rPr>
          <w:rFonts w:ascii="Arial" w:hAnsi="Arial" w:cs="Arial"/>
          <w:sz w:val="22"/>
          <w:szCs w:val="22"/>
          <w:lang w:val="en-US"/>
        </w:rPr>
      </w:pPr>
      <w:r w:rsidRPr="00E51C28">
        <w:rPr>
          <w:rFonts w:ascii="Arial" w:hAnsi="Arial" w:cs="Arial"/>
          <w:sz w:val="22"/>
          <w:szCs w:val="22"/>
          <w:lang w:val="en-US"/>
        </w:rPr>
        <w:t xml:space="preserve">‘Any power of attorney, agreement or document which is executed by any member of the Management Committee together with the administrative secretary will be deemed </w:t>
      </w:r>
      <w:r w:rsidRPr="00E51C28">
        <w:rPr>
          <w:rFonts w:ascii="Arial" w:hAnsi="Arial" w:cs="Arial"/>
          <w:sz w:val="22"/>
          <w:szCs w:val="22"/>
          <w:lang w:val="en-US"/>
        </w:rPr>
        <w:lastRenderedPageBreak/>
        <w:t xml:space="preserve">to be executed by the Central Committee, Executive Committee or Management Committee as the case may be. Any document professing to contain a resolution of the Management Committee, </w:t>
      </w:r>
      <w:r w:rsidR="00E94091">
        <w:rPr>
          <w:rFonts w:ascii="Arial" w:hAnsi="Arial" w:cs="Arial"/>
          <w:sz w:val="22"/>
          <w:szCs w:val="22"/>
          <w:lang w:val="en-US"/>
        </w:rPr>
        <w:t>the Executive Committee or the C</w:t>
      </w:r>
      <w:r w:rsidRPr="00E51C28">
        <w:rPr>
          <w:rFonts w:ascii="Arial" w:hAnsi="Arial" w:cs="Arial"/>
          <w:sz w:val="22"/>
          <w:szCs w:val="22"/>
          <w:lang w:val="en-US"/>
        </w:rPr>
        <w:t>entral Committee will be deemed as such if it signed jointly by the administrative secretary and any member of the management committee</w:t>
      </w:r>
      <w:r w:rsidR="001D7726" w:rsidRPr="00E51C28">
        <w:rPr>
          <w:rFonts w:ascii="Arial" w:hAnsi="Arial" w:cs="Arial"/>
          <w:sz w:val="22"/>
          <w:szCs w:val="22"/>
          <w:lang w:val="en-US"/>
        </w:rPr>
        <w:t>.</w:t>
      </w:r>
      <w:r w:rsidR="00E94091">
        <w:rPr>
          <w:rFonts w:ascii="Arial" w:hAnsi="Arial" w:cs="Arial"/>
          <w:sz w:val="22"/>
          <w:szCs w:val="22"/>
          <w:lang w:val="en-US"/>
        </w:rPr>
        <w:t>’</w:t>
      </w:r>
    </w:p>
    <w:p w14:paraId="708298C0" w14:textId="77777777" w:rsidR="00F355DB" w:rsidRDefault="00F355DB" w:rsidP="00F355DB">
      <w:pPr>
        <w:spacing w:line="480" w:lineRule="auto"/>
        <w:ind w:left="720"/>
        <w:jc w:val="both"/>
        <w:rPr>
          <w:rFonts w:ascii="Arial" w:hAnsi="Arial" w:cs="Arial"/>
          <w:lang w:val="en-US"/>
        </w:rPr>
      </w:pPr>
    </w:p>
    <w:p w14:paraId="56FC2A66" w14:textId="46B8490E" w:rsidR="00EF3124" w:rsidRPr="0080796E" w:rsidRDefault="001F1893" w:rsidP="0080796E">
      <w:pPr>
        <w:pStyle w:val="NoSpacing"/>
        <w:numPr>
          <w:ilvl w:val="0"/>
          <w:numId w:val="7"/>
        </w:numPr>
        <w:spacing w:line="480" w:lineRule="auto"/>
        <w:ind w:left="0" w:firstLine="0"/>
        <w:jc w:val="both"/>
        <w:rPr>
          <w:rFonts w:ascii="Arial" w:hAnsi="Arial" w:cs="Arial"/>
          <w:sz w:val="24"/>
          <w:szCs w:val="24"/>
          <w:lang w:val="en-US"/>
        </w:rPr>
      </w:pPr>
      <w:r w:rsidRPr="0080796E">
        <w:rPr>
          <w:rFonts w:ascii="Arial" w:hAnsi="Arial" w:cs="Arial"/>
          <w:sz w:val="24"/>
          <w:szCs w:val="24"/>
          <w:lang w:val="en-US"/>
        </w:rPr>
        <w:t xml:space="preserve">The </w:t>
      </w:r>
      <w:r w:rsidR="00BD7AAB" w:rsidRPr="0080796E">
        <w:rPr>
          <w:rFonts w:ascii="Arial" w:hAnsi="Arial" w:cs="Arial"/>
          <w:sz w:val="24"/>
          <w:szCs w:val="24"/>
          <w:lang w:val="en-US"/>
        </w:rPr>
        <w:t xml:space="preserve">Party </w:t>
      </w:r>
      <w:r w:rsidRPr="0080796E">
        <w:rPr>
          <w:rFonts w:ascii="Arial" w:hAnsi="Arial" w:cs="Arial"/>
          <w:sz w:val="24"/>
          <w:szCs w:val="24"/>
          <w:lang w:val="en-US"/>
        </w:rPr>
        <w:t xml:space="preserve">constitution creates </w:t>
      </w:r>
      <w:r w:rsidR="00BD7AAB" w:rsidRPr="0080796E">
        <w:rPr>
          <w:rFonts w:ascii="Arial" w:hAnsi="Arial" w:cs="Arial"/>
          <w:sz w:val="24"/>
          <w:szCs w:val="24"/>
          <w:lang w:val="en-US"/>
        </w:rPr>
        <w:t>a number of off</w:t>
      </w:r>
      <w:r w:rsidR="00EF3124" w:rsidRPr="0080796E">
        <w:rPr>
          <w:rFonts w:ascii="Arial" w:hAnsi="Arial" w:cs="Arial"/>
          <w:sz w:val="24"/>
          <w:szCs w:val="24"/>
          <w:lang w:val="en-US"/>
        </w:rPr>
        <w:t>ices on national level</w:t>
      </w:r>
      <w:r w:rsidR="00BD7AAB" w:rsidRPr="0080796E">
        <w:rPr>
          <w:rFonts w:ascii="Arial" w:hAnsi="Arial" w:cs="Arial"/>
          <w:sz w:val="24"/>
          <w:szCs w:val="24"/>
          <w:lang w:val="en-US"/>
        </w:rPr>
        <w:t xml:space="preserve">, including </w:t>
      </w:r>
      <w:r w:rsidRPr="0080796E">
        <w:rPr>
          <w:rFonts w:ascii="Arial" w:hAnsi="Arial" w:cs="Arial"/>
          <w:sz w:val="24"/>
          <w:szCs w:val="24"/>
          <w:lang w:val="en-US"/>
        </w:rPr>
        <w:t xml:space="preserve">the </w:t>
      </w:r>
      <w:r w:rsidR="007A3A2C">
        <w:rPr>
          <w:rFonts w:ascii="Arial" w:hAnsi="Arial" w:cs="Arial"/>
          <w:sz w:val="24"/>
          <w:szCs w:val="24"/>
          <w:lang w:val="en-US"/>
        </w:rPr>
        <w:t>o</w:t>
      </w:r>
      <w:r w:rsidRPr="0080796E">
        <w:rPr>
          <w:rFonts w:ascii="Arial" w:hAnsi="Arial" w:cs="Arial"/>
          <w:sz w:val="24"/>
          <w:szCs w:val="24"/>
          <w:lang w:val="en-US"/>
        </w:rPr>
        <w:t xml:space="preserve">ffice of </w:t>
      </w:r>
      <w:r w:rsidR="007A3A2C">
        <w:rPr>
          <w:rFonts w:ascii="Arial" w:hAnsi="Arial" w:cs="Arial"/>
          <w:sz w:val="24"/>
          <w:szCs w:val="24"/>
          <w:lang w:val="en-US"/>
        </w:rPr>
        <w:t xml:space="preserve">the </w:t>
      </w:r>
      <w:r w:rsidRPr="0080796E">
        <w:rPr>
          <w:rFonts w:ascii="Arial" w:hAnsi="Arial" w:cs="Arial"/>
          <w:sz w:val="24"/>
          <w:szCs w:val="24"/>
          <w:lang w:val="en-US"/>
        </w:rPr>
        <w:t>president, vice president, chairman, vice-chairman, secretary general</w:t>
      </w:r>
      <w:r w:rsidR="005B549C" w:rsidRPr="0080796E">
        <w:rPr>
          <w:rFonts w:ascii="Arial" w:hAnsi="Arial" w:cs="Arial"/>
          <w:sz w:val="24"/>
          <w:szCs w:val="24"/>
          <w:lang w:val="en-US"/>
        </w:rPr>
        <w:t xml:space="preserve"> and portfolio secretaries. </w:t>
      </w:r>
      <w:r w:rsidR="00520A0F">
        <w:rPr>
          <w:rFonts w:ascii="Arial" w:hAnsi="Arial" w:cs="Arial"/>
          <w:sz w:val="24"/>
          <w:szCs w:val="24"/>
          <w:lang w:val="en-US"/>
        </w:rPr>
        <w:t>At the local level,</w:t>
      </w:r>
      <w:r w:rsidR="00345E90" w:rsidRPr="0080796E">
        <w:rPr>
          <w:rFonts w:ascii="Arial" w:hAnsi="Arial" w:cs="Arial"/>
          <w:sz w:val="24"/>
          <w:szCs w:val="24"/>
          <w:lang w:val="en-US"/>
        </w:rPr>
        <w:t xml:space="preserve"> </w:t>
      </w:r>
      <w:r w:rsidR="00520A0F">
        <w:rPr>
          <w:rFonts w:ascii="Arial" w:hAnsi="Arial" w:cs="Arial"/>
          <w:sz w:val="24"/>
          <w:szCs w:val="24"/>
          <w:lang w:val="en-US"/>
        </w:rPr>
        <w:t>it creates</w:t>
      </w:r>
      <w:r w:rsidR="00345E90" w:rsidRPr="0080796E">
        <w:rPr>
          <w:rFonts w:ascii="Arial" w:hAnsi="Arial" w:cs="Arial"/>
          <w:sz w:val="24"/>
          <w:szCs w:val="24"/>
          <w:lang w:val="en-US"/>
        </w:rPr>
        <w:t xml:space="preserve"> </w:t>
      </w:r>
      <w:r w:rsidR="00680C73" w:rsidRPr="0080796E">
        <w:rPr>
          <w:rFonts w:ascii="Arial" w:hAnsi="Arial" w:cs="Arial"/>
          <w:sz w:val="24"/>
          <w:szCs w:val="24"/>
          <w:lang w:val="en-US"/>
        </w:rPr>
        <w:t>‘Branch Committees’</w:t>
      </w:r>
      <w:r w:rsidR="00345E90" w:rsidRPr="0080796E">
        <w:rPr>
          <w:rFonts w:ascii="Arial" w:hAnsi="Arial" w:cs="Arial"/>
          <w:sz w:val="24"/>
          <w:szCs w:val="24"/>
          <w:lang w:val="en-US"/>
        </w:rPr>
        <w:t xml:space="preserve"> headed by a ‘Chairman’</w:t>
      </w:r>
      <w:r w:rsidR="00680C73" w:rsidRPr="0080796E">
        <w:rPr>
          <w:rFonts w:ascii="Arial" w:hAnsi="Arial" w:cs="Arial"/>
          <w:sz w:val="24"/>
          <w:szCs w:val="24"/>
          <w:lang w:val="en-US"/>
        </w:rPr>
        <w:t>; ‘Constituency Committees’ headed by a ‘Chairman’; ‘Regional Committees’ headed by a ‘Chairman’, the ‘Ch</w:t>
      </w:r>
      <w:r w:rsidR="00C47B22">
        <w:rPr>
          <w:rFonts w:ascii="Arial" w:hAnsi="Arial" w:cs="Arial"/>
          <w:sz w:val="24"/>
          <w:szCs w:val="24"/>
          <w:lang w:val="en-US"/>
        </w:rPr>
        <w:t xml:space="preserve">ief’s Council’; ‘Women’s </w:t>
      </w:r>
      <w:r w:rsidR="004B29B6">
        <w:rPr>
          <w:rFonts w:ascii="Arial" w:hAnsi="Arial" w:cs="Arial"/>
          <w:sz w:val="24"/>
          <w:szCs w:val="24"/>
          <w:lang w:val="en-US"/>
        </w:rPr>
        <w:t>League;</w:t>
      </w:r>
      <w:r w:rsidR="004B29B6" w:rsidRPr="0080796E">
        <w:rPr>
          <w:rFonts w:ascii="Arial" w:hAnsi="Arial" w:cs="Arial"/>
          <w:sz w:val="24"/>
          <w:szCs w:val="24"/>
          <w:lang w:val="en-US"/>
        </w:rPr>
        <w:t xml:space="preserve"> ‘Youth</w:t>
      </w:r>
      <w:r w:rsidR="00680C73" w:rsidRPr="0080796E">
        <w:rPr>
          <w:rFonts w:ascii="Arial" w:hAnsi="Arial" w:cs="Arial"/>
          <w:sz w:val="24"/>
          <w:szCs w:val="24"/>
          <w:lang w:val="en-US"/>
        </w:rPr>
        <w:t xml:space="preserve"> League’ and ‘Affiliated Political Parties or Groups’. </w:t>
      </w:r>
      <w:r w:rsidR="00520A0F">
        <w:rPr>
          <w:rFonts w:ascii="Arial" w:hAnsi="Arial" w:cs="Arial"/>
          <w:sz w:val="24"/>
          <w:szCs w:val="24"/>
          <w:lang w:val="en-US"/>
        </w:rPr>
        <w:t>These lower level organs enjoy no executive functions under the Party constitution.</w:t>
      </w:r>
    </w:p>
    <w:p w14:paraId="15D33C23" w14:textId="77777777" w:rsidR="008242EB" w:rsidRPr="0080796E" w:rsidRDefault="008242EB" w:rsidP="00F355DB">
      <w:pPr>
        <w:spacing w:line="480" w:lineRule="auto"/>
        <w:jc w:val="both"/>
        <w:rPr>
          <w:rFonts w:ascii="Arial" w:hAnsi="Arial" w:cs="Arial"/>
          <w:lang w:val="en-US"/>
        </w:rPr>
      </w:pPr>
    </w:p>
    <w:p w14:paraId="6FDAB57D" w14:textId="1DDDA01D" w:rsidR="001F1893" w:rsidRPr="0080796E" w:rsidRDefault="008242EB" w:rsidP="0080796E">
      <w:pPr>
        <w:pStyle w:val="NoSpacing"/>
        <w:numPr>
          <w:ilvl w:val="0"/>
          <w:numId w:val="7"/>
        </w:numPr>
        <w:spacing w:line="480" w:lineRule="auto"/>
        <w:ind w:left="0" w:firstLine="0"/>
        <w:jc w:val="both"/>
        <w:rPr>
          <w:rFonts w:ascii="Arial" w:hAnsi="Arial" w:cs="Arial"/>
          <w:sz w:val="24"/>
          <w:szCs w:val="24"/>
          <w:lang w:val="en-US"/>
        </w:rPr>
      </w:pPr>
      <w:r w:rsidRPr="0080796E">
        <w:rPr>
          <w:rFonts w:ascii="Arial" w:hAnsi="Arial" w:cs="Arial"/>
          <w:sz w:val="24"/>
          <w:szCs w:val="24"/>
          <w:lang w:val="en-US"/>
        </w:rPr>
        <w:t>Th</w:t>
      </w:r>
      <w:r w:rsidR="001D3E0D" w:rsidRPr="0080796E">
        <w:rPr>
          <w:rFonts w:ascii="Arial" w:hAnsi="Arial" w:cs="Arial"/>
          <w:sz w:val="24"/>
          <w:szCs w:val="24"/>
          <w:lang w:val="en-US"/>
        </w:rPr>
        <w:t>e power to alienate DTA’s immov</w:t>
      </w:r>
      <w:r w:rsidRPr="0080796E">
        <w:rPr>
          <w:rFonts w:ascii="Arial" w:hAnsi="Arial" w:cs="Arial"/>
          <w:sz w:val="24"/>
          <w:szCs w:val="24"/>
          <w:lang w:val="en-US"/>
        </w:rPr>
        <w:t xml:space="preserve">able property therefore vests in the </w:t>
      </w:r>
      <w:r w:rsidR="00520A0F">
        <w:rPr>
          <w:rFonts w:ascii="Arial" w:hAnsi="Arial" w:cs="Arial"/>
          <w:sz w:val="24"/>
          <w:szCs w:val="24"/>
          <w:lang w:val="en-US"/>
        </w:rPr>
        <w:t xml:space="preserve">top </w:t>
      </w:r>
      <w:r w:rsidRPr="0080796E">
        <w:rPr>
          <w:rFonts w:ascii="Arial" w:hAnsi="Arial" w:cs="Arial"/>
          <w:sz w:val="24"/>
          <w:szCs w:val="24"/>
          <w:lang w:val="en-US"/>
        </w:rPr>
        <w:t xml:space="preserve">organs </w:t>
      </w:r>
      <w:r w:rsidR="00520A0F">
        <w:rPr>
          <w:rFonts w:ascii="Arial" w:hAnsi="Arial" w:cs="Arial"/>
          <w:sz w:val="24"/>
          <w:szCs w:val="24"/>
          <w:lang w:val="en-US"/>
        </w:rPr>
        <w:t xml:space="preserve">and officials </w:t>
      </w:r>
      <w:r w:rsidRPr="0080796E">
        <w:rPr>
          <w:rFonts w:ascii="Arial" w:hAnsi="Arial" w:cs="Arial"/>
          <w:sz w:val="24"/>
          <w:szCs w:val="24"/>
          <w:lang w:val="en-US"/>
        </w:rPr>
        <w:t xml:space="preserve">of the party. </w:t>
      </w:r>
      <w:r w:rsidR="001D3E0D" w:rsidRPr="0080796E">
        <w:rPr>
          <w:rFonts w:ascii="Arial" w:hAnsi="Arial" w:cs="Arial"/>
          <w:sz w:val="24"/>
          <w:szCs w:val="24"/>
          <w:lang w:val="en-US"/>
        </w:rPr>
        <w:t>The DTA’s constitution further provides that in times of extraordinary crisis, the p</w:t>
      </w:r>
      <w:r w:rsidR="00520A0F">
        <w:rPr>
          <w:rFonts w:ascii="Arial" w:hAnsi="Arial" w:cs="Arial"/>
          <w:sz w:val="24"/>
          <w:szCs w:val="24"/>
          <w:lang w:val="en-US"/>
        </w:rPr>
        <w:t>arty president can act for the management c</w:t>
      </w:r>
      <w:r w:rsidR="001D3E0D" w:rsidRPr="0080796E">
        <w:rPr>
          <w:rFonts w:ascii="Arial" w:hAnsi="Arial" w:cs="Arial"/>
          <w:sz w:val="24"/>
          <w:szCs w:val="24"/>
          <w:lang w:val="en-US"/>
        </w:rPr>
        <w:t>ommittee until s</w:t>
      </w:r>
      <w:r w:rsidR="00520A0F">
        <w:rPr>
          <w:rFonts w:ascii="Arial" w:hAnsi="Arial" w:cs="Arial"/>
          <w:sz w:val="24"/>
          <w:szCs w:val="24"/>
          <w:lang w:val="en-US"/>
        </w:rPr>
        <w:t>uch a time as a quorum for the management c</w:t>
      </w:r>
      <w:r w:rsidR="001D3E0D" w:rsidRPr="0080796E">
        <w:rPr>
          <w:rFonts w:ascii="Arial" w:hAnsi="Arial" w:cs="Arial"/>
          <w:sz w:val="24"/>
          <w:szCs w:val="24"/>
          <w:lang w:val="en-US"/>
        </w:rPr>
        <w:t>ommittee c</w:t>
      </w:r>
      <w:r w:rsidR="00C47B22">
        <w:rPr>
          <w:rFonts w:ascii="Arial" w:hAnsi="Arial" w:cs="Arial"/>
          <w:sz w:val="24"/>
          <w:szCs w:val="24"/>
          <w:lang w:val="en-US"/>
        </w:rPr>
        <w:t xml:space="preserve">an be established to ratify his or </w:t>
      </w:r>
      <w:r w:rsidR="001D3E0D" w:rsidRPr="0080796E">
        <w:rPr>
          <w:rFonts w:ascii="Arial" w:hAnsi="Arial" w:cs="Arial"/>
          <w:sz w:val="24"/>
          <w:szCs w:val="24"/>
          <w:lang w:val="en-US"/>
        </w:rPr>
        <w:t xml:space="preserve">her actions. </w:t>
      </w:r>
      <w:r w:rsidR="005B549C" w:rsidRPr="0080796E">
        <w:rPr>
          <w:rFonts w:ascii="Arial" w:hAnsi="Arial" w:cs="Arial"/>
          <w:sz w:val="24"/>
          <w:szCs w:val="24"/>
          <w:lang w:val="en-US"/>
        </w:rPr>
        <w:t>The persons who purported to represent the DTA in the sale of the disputed land to River View are regional leaders</w:t>
      </w:r>
      <w:r w:rsidRPr="0080796E">
        <w:rPr>
          <w:rFonts w:ascii="Arial" w:hAnsi="Arial" w:cs="Arial"/>
          <w:sz w:val="24"/>
          <w:szCs w:val="24"/>
          <w:lang w:val="en-US"/>
        </w:rPr>
        <w:t xml:space="preserve"> who clearly were not authorised to bind the party to such a transaction</w:t>
      </w:r>
      <w:r w:rsidR="005B549C" w:rsidRPr="0080796E">
        <w:rPr>
          <w:rFonts w:ascii="Arial" w:hAnsi="Arial" w:cs="Arial"/>
          <w:sz w:val="24"/>
          <w:szCs w:val="24"/>
          <w:lang w:val="en-US"/>
        </w:rPr>
        <w:t xml:space="preserve">. </w:t>
      </w:r>
    </w:p>
    <w:p w14:paraId="48877D30" w14:textId="77777777" w:rsidR="008242EB" w:rsidRDefault="008242EB" w:rsidP="00F355DB">
      <w:pPr>
        <w:spacing w:line="480" w:lineRule="auto"/>
        <w:jc w:val="both"/>
        <w:rPr>
          <w:rFonts w:ascii="Arial" w:hAnsi="Arial" w:cs="Arial"/>
          <w:lang w:val="en-US"/>
        </w:rPr>
      </w:pPr>
    </w:p>
    <w:p w14:paraId="14C7C907" w14:textId="473CF891" w:rsidR="00073075" w:rsidRPr="0080796E" w:rsidRDefault="000054F4" w:rsidP="0080796E">
      <w:pPr>
        <w:pStyle w:val="NoSpacing"/>
        <w:numPr>
          <w:ilvl w:val="0"/>
          <w:numId w:val="7"/>
        </w:numPr>
        <w:spacing w:line="480" w:lineRule="auto"/>
        <w:ind w:left="0" w:firstLine="0"/>
        <w:jc w:val="both"/>
        <w:rPr>
          <w:rFonts w:ascii="Arial" w:hAnsi="Arial" w:cs="Arial"/>
          <w:sz w:val="24"/>
          <w:szCs w:val="24"/>
          <w:lang w:val="en-US"/>
        </w:rPr>
      </w:pPr>
      <w:r w:rsidRPr="0080796E">
        <w:rPr>
          <w:rFonts w:ascii="Arial" w:hAnsi="Arial" w:cs="Arial"/>
          <w:sz w:val="24"/>
          <w:szCs w:val="24"/>
          <w:lang w:val="en-US"/>
        </w:rPr>
        <w:t xml:space="preserve">The </w:t>
      </w:r>
      <w:r w:rsidR="008242EB" w:rsidRPr="0080796E">
        <w:rPr>
          <w:rFonts w:ascii="Arial" w:hAnsi="Arial" w:cs="Arial"/>
          <w:sz w:val="24"/>
          <w:szCs w:val="24"/>
          <w:lang w:val="en-US"/>
        </w:rPr>
        <w:t xml:space="preserve">Party </w:t>
      </w:r>
      <w:r w:rsidRPr="0080796E">
        <w:rPr>
          <w:rFonts w:ascii="Arial" w:hAnsi="Arial" w:cs="Arial"/>
          <w:sz w:val="24"/>
          <w:szCs w:val="24"/>
          <w:lang w:val="en-US"/>
        </w:rPr>
        <w:t xml:space="preserve">constitution is not publicly available and it was not proven that the agent of River View </w:t>
      </w:r>
      <w:r w:rsidR="000839AF" w:rsidRPr="0080796E">
        <w:rPr>
          <w:rFonts w:ascii="Arial" w:hAnsi="Arial" w:cs="Arial"/>
          <w:sz w:val="24"/>
          <w:szCs w:val="24"/>
          <w:lang w:val="en-US"/>
        </w:rPr>
        <w:t xml:space="preserve">(Mr Hausiku) </w:t>
      </w:r>
      <w:r w:rsidRPr="0080796E">
        <w:rPr>
          <w:rFonts w:ascii="Arial" w:hAnsi="Arial" w:cs="Arial"/>
          <w:sz w:val="24"/>
          <w:szCs w:val="24"/>
          <w:lang w:val="en-US"/>
        </w:rPr>
        <w:t xml:space="preserve">knew of its contents. </w:t>
      </w:r>
      <w:r w:rsidR="008242EB" w:rsidRPr="0080796E">
        <w:rPr>
          <w:rFonts w:ascii="Arial" w:hAnsi="Arial" w:cs="Arial"/>
          <w:sz w:val="24"/>
          <w:szCs w:val="24"/>
          <w:lang w:val="en-US"/>
        </w:rPr>
        <w:t xml:space="preserve">Although they had no power to alienate DTA’s </w:t>
      </w:r>
      <w:r w:rsidR="00083DFA">
        <w:rPr>
          <w:rFonts w:ascii="Arial" w:hAnsi="Arial" w:cs="Arial"/>
          <w:sz w:val="24"/>
          <w:szCs w:val="24"/>
          <w:lang w:val="en-US"/>
        </w:rPr>
        <w:t>immovable</w:t>
      </w:r>
      <w:r w:rsidR="008242EB" w:rsidRPr="0080796E">
        <w:rPr>
          <w:rFonts w:ascii="Arial" w:hAnsi="Arial" w:cs="Arial"/>
          <w:sz w:val="24"/>
          <w:szCs w:val="24"/>
          <w:lang w:val="en-US"/>
        </w:rPr>
        <w:t xml:space="preserve"> property, it is not in dispute that the regional leaders </w:t>
      </w:r>
      <w:r w:rsidR="00866E7B" w:rsidRPr="0080796E">
        <w:rPr>
          <w:rFonts w:ascii="Arial" w:hAnsi="Arial" w:cs="Arial"/>
          <w:sz w:val="24"/>
          <w:szCs w:val="24"/>
          <w:lang w:val="en-US"/>
        </w:rPr>
        <w:t>who purported to act on behalf of the DTA represent</w:t>
      </w:r>
      <w:r w:rsidR="00073075" w:rsidRPr="0080796E">
        <w:rPr>
          <w:rFonts w:ascii="Arial" w:hAnsi="Arial" w:cs="Arial"/>
          <w:sz w:val="24"/>
          <w:szCs w:val="24"/>
          <w:lang w:val="en-US"/>
        </w:rPr>
        <w:t>ed</w:t>
      </w:r>
      <w:r w:rsidR="00866E7B" w:rsidRPr="0080796E">
        <w:rPr>
          <w:rFonts w:ascii="Arial" w:hAnsi="Arial" w:cs="Arial"/>
          <w:sz w:val="24"/>
          <w:szCs w:val="24"/>
          <w:lang w:val="en-US"/>
        </w:rPr>
        <w:t xml:space="preserve"> the </w:t>
      </w:r>
      <w:r w:rsidR="00D46C4C" w:rsidRPr="0080796E">
        <w:rPr>
          <w:rFonts w:ascii="Arial" w:hAnsi="Arial" w:cs="Arial"/>
          <w:sz w:val="24"/>
          <w:szCs w:val="24"/>
          <w:lang w:val="en-US"/>
        </w:rPr>
        <w:t>public</w:t>
      </w:r>
      <w:r w:rsidR="00866E7B" w:rsidRPr="0080796E">
        <w:rPr>
          <w:rFonts w:ascii="Arial" w:hAnsi="Arial" w:cs="Arial"/>
          <w:sz w:val="24"/>
          <w:szCs w:val="24"/>
          <w:lang w:val="en-US"/>
        </w:rPr>
        <w:t xml:space="preserve"> face of the party in the Kavango region. </w:t>
      </w:r>
      <w:r w:rsidR="00C47B22">
        <w:rPr>
          <w:rFonts w:ascii="Arial" w:hAnsi="Arial" w:cs="Arial"/>
          <w:sz w:val="24"/>
          <w:szCs w:val="24"/>
          <w:lang w:val="en-US"/>
        </w:rPr>
        <w:t>It is also common cause</w:t>
      </w:r>
      <w:r w:rsidR="00073075" w:rsidRPr="0080796E">
        <w:rPr>
          <w:rFonts w:ascii="Arial" w:hAnsi="Arial" w:cs="Arial"/>
          <w:sz w:val="24"/>
          <w:szCs w:val="24"/>
          <w:lang w:val="en-US"/>
        </w:rPr>
        <w:t xml:space="preserve"> that they</w:t>
      </w:r>
      <w:r w:rsidR="00680C73" w:rsidRPr="0080796E">
        <w:rPr>
          <w:rFonts w:ascii="Arial" w:hAnsi="Arial" w:cs="Arial"/>
          <w:sz w:val="24"/>
          <w:szCs w:val="24"/>
          <w:lang w:val="en-US"/>
        </w:rPr>
        <w:t xml:space="preserve"> made the</w:t>
      </w:r>
      <w:r w:rsidR="00AF6DEA" w:rsidRPr="0080796E">
        <w:rPr>
          <w:rFonts w:ascii="Arial" w:hAnsi="Arial" w:cs="Arial"/>
          <w:sz w:val="24"/>
          <w:szCs w:val="24"/>
          <w:lang w:val="en-US"/>
        </w:rPr>
        <w:t xml:space="preserve"> representation </w:t>
      </w:r>
      <w:r w:rsidR="00BA66C3" w:rsidRPr="0080796E">
        <w:rPr>
          <w:rFonts w:ascii="Arial" w:hAnsi="Arial" w:cs="Arial"/>
          <w:sz w:val="24"/>
          <w:szCs w:val="24"/>
          <w:lang w:val="en-US"/>
        </w:rPr>
        <w:t xml:space="preserve">to River </w:t>
      </w:r>
      <w:r w:rsidR="00BA66C3" w:rsidRPr="0080796E">
        <w:rPr>
          <w:rFonts w:ascii="Arial" w:hAnsi="Arial" w:cs="Arial"/>
          <w:sz w:val="24"/>
          <w:szCs w:val="24"/>
          <w:lang w:val="en-US"/>
        </w:rPr>
        <w:lastRenderedPageBreak/>
        <w:t xml:space="preserve">View’s </w:t>
      </w:r>
      <w:r w:rsidR="00C47B22">
        <w:rPr>
          <w:rFonts w:ascii="Arial" w:hAnsi="Arial" w:cs="Arial"/>
          <w:sz w:val="24"/>
          <w:szCs w:val="24"/>
          <w:lang w:val="en-US"/>
        </w:rPr>
        <w:t xml:space="preserve">Mr </w:t>
      </w:r>
      <w:r w:rsidR="00BA66C3" w:rsidRPr="0080796E">
        <w:rPr>
          <w:rFonts w:ascii="Arial" w:hAnsi="Arial" w:cs="Arial"/>
          <w:sz w:val="24"/>
          <w:szCs w:val="24"/>
          <w:lang w:val="en-US"/>
        </w:rPr>
        <w:t xml:space="preserve">Hausiku </w:t>
      </w:r>
      <w:r w:rsidR="00AF6DEA" w:rsidRPr="0080796E">
        <w:rPr>
          <w:rFonts w:ascii="Arial" w:hAnsi="Arial" w:cs="Arial"/>
          <w:sz w:val="24"/>
          <w:szCs w:val="24"/>
          <w:lang w:val="en-US"/>
        </w:rPr>
        <w:t xml:space="preserve">that they had the authority to bind the DTA in the transaction. The representations were </w:t>
      </w:r>
      <w:r w:rsidR="00B44DF6" w:rsidRPr="0080796E">
        <w:rPr>
          <w:rFonts w:ascii="Arial" w:hAnsi="Arial" w:cs="Arial"/>
          <w:sz w:val="24"/>
          <w:szCs w:val="24"/>
          <w:lang w:val="en-US"/>
        </w:rPr>
        <w:t xml:space="preserve">even </w:t>
      </w:r>
      <w:r w:rsidR="00D406CC">
        <w:rPr>
          <w:rFonts w:ascii="Arial" w:hAnsi="Arial" w:cs="Arial"/>
          <w:sz w:val="24"/>
          <w:szCs w:val="24"/>
          <w:lang w:val="en-US"/>
        </w:rPr>
        <w:t>repeated</w:t>
      </w:r>
      <w:r w:rsidR="00AF6DEA" w:rsidRPr="0080796E">
        <w:rPr>
          <w:rFonts w:ascii="Arial" w:hAnsi="Arial" w:cs="Arial"/>
          <w:sz w:val="24"/>
          <w:szCs w:val="24"/>
          <w:lang w:val="en-US"/>
        </w:rPr>
        <w:t xml:space="preserve"> before a conveyancer w</w:t>
      </w:r>
      <w:r w:rsidR="007A3A2C">
        <w:rPr>
          <w:rFonts w:ascii="Arial" w:hAnsi="Arial" w:cs="Arial"/>
          <w:sz w:val="24"/>
          <w:szCs w:val="24"/>
          <w:lang w:val="en-US"/>
        </w:rPr>
        <w:t>ho facilitated the transaction.</w:t>
      </w:r>
    </w:p>
    <w:p w14:paraId="4506F1DD" w14:textId="77777777" w:rsidR="00073075" w:rsidRPr="0080796E" w:rsidRDefault="00073075" w:rsidP="00F355DB">
      <w:pPr>
        <w:spacing w:line="480" w:lineRule="auto"/>
        <w:jc w:val="both"/>
        <w:rPr>
          <w:rFonts w:ascii="Arial" w:hAnsi="Arial" w:cs="Arial"/>
          <w:lang w:val="en-US"/>
        </w:rPr>
      </w:pPr>
    </w:p>
    <w:p w14:paraId="0EF78106" w14:textId="3B1D2EE1" w:rsidR="00BA66C3" w:rsidRPr="0080796E" w:rsidRDefault="000E63FC" w:rsidP="0080796E">
      <w:pPr>
        <w:pStyle w:val="NoSpacing"/>
        <w:numPr>
          <w:ilvl w:val="0"/>
          <w:numId w:val="7"/>
        </w:numPr>
        <w:spacing w:line="480" w:lineRule="auto"/>
        <w:ind w:left="0" w:firstLine="0"/>
        <w:jc w:val="both"/>
        <w:rPr>
          <w:rFonts w:ascii="Arial" w:hAnsi="Arial" w:cs="Arial"/>
          <w:sz w:val="24"/>
          <w:szCs w:val="24"/>
          <w:lang w:val="en-US"/>
        </w:rPr>
      </w:pPr>
      <w:r w:rsidRPr="0080796E">
        <w:rPr>
          <w:rFonts w:ascii="Arial" w:hAnsi="Arial" w:cs="Arial"/>
          <w:sz w:val="24"/>
          <w:szCs w:val="24"/>
          <w:lang w:val="en-US"/>
        </w:rPr>
        <w:t xml:space="preserve">River View paid in full the agreed purchase price for the disputed land. </w:t>
      </w:r>
      <w:r w:rsidR="00073075" w:rsidRPr="0080796E">
        <w:rPr>
          <w:rFonts w:ascii="Arial" w:hAnsi="Arial" w:cs="Arial"/>
          <w:sz w:val="24"/>
          <w:szCs w:val="24"/>
          <w:lang w:val="en-US"/>
        </w:rPr>
        <w:t>It is further common cause that the</w:t>
      </w:r>
      <w:r w:rsidR="00AF6DEA" w:rsidRPr="0080796E">
        <w:rPr>
          <w:rFonts w:ascii="Arial" w:hAnsi="Arial" w:cs="Arial"/>
          <w:sz w:val="24"/>
          <w:szCs w:val="24"/>
          <w:lang w:val="en-US"/>
        </w:rPr>
        <w:t xml:space="preserve"> funds that made it possible for the DTA to take transfer of the disputed land from the RTC were paid by River View: both in respect of </w:t>
      </w:r>
      <w:r w:rsidR="00B44DF6" w:rsidRPr="0080796E">
        <w:rPr>
          <w:rFonts w:ascii="Arial" w:hAnsi="Arial" w:cs="Arial"/>
          <w:sz w:val="24"/>
          <w:szCs w:val="24"/>
          <w:lang w:val="en-US"/>
        </w:rPr>
        <w:t xml:space="preserve">the </w:t>
      </w:r>
      <w:r w:rsidR="00AF6DEA" w:rsidRPr="0080796E">
        <w:rPr>
          <w:rFonts w:ascii="Arial" w:hAnsi="Arial" w:cs="Arial"/>
          <w:sz w:val="24"/>
          <w:szCs w:val="24"/>
          <w:lang w:val="en-US"/>
        </w:rPr>
        <w:t>then outstanding indebtedness of</w:t>
      </w:r>
      <w:r w:rsidR="00F355DB" w:rsidRPr="0080796E">
        <w:rPr>
          <w:rFonts w:ascii="Arial" w:hAnsi="Arial" w:cs="Arial"/>
          <w:sz w:val="24"/>
          <w:szCs w:val="24"/>
          <w:lang w:val="en-US"/>
        </w:rPr>
        <w:t xml:space="preserve"> DTA to RTC for rates and taxes, </w:t>
      </w:r>
      <w:r w:rsidR="00AF6DEA" w:rsidRPr="0080796E">
        <w:rPr>
          <w:rFonts w:ascii="Arial" w:hAnsi="Arial" w:cs="Arial"/>
          <w:sz w:val="24"/>
          <w:szCs w:val="24"/>
          <w:lang w:val="en-US"/>
        </w:rPr>
        <w:t>the purchase p</w:t>
      </w:r>
      <w:r w:rsidR="00F355DB" w:rsidRPr="0080796E">
        <w:rPr>
          <w:rFonts w:ascii="Arial" w:hAnsi="Arial" w:cs="Arial"/>
          <w:sz w:val="24"/>
          <w:szCs w:val="24"/>
          <w:lang w:val="en-US"/>
        </w:rPr>
        <w:t>rice for the land paid to RTC,</w:t>
      </w:r>
      <w:r w:rsidR="00AF6DEA" w:rsidRPr="0080796E">
        <w:rPr>
          <w:rFonts w:ascii="Arial" w:hAnsi="Arial" w:cs="Arial"/>
          <w:sz w:val="24"/>
          <w:szCs w:val="24"/>
          <w:lang w:val="en-US"/>
        </w:rPr>
        <w:t xml:space="preserve"> transfer duty</w:t>
      </w:r>
      <w:r w:rsidR="00A91ED9" w:rsidRPr="0080796E">
        <w:rPr>
          <w:rFonts w:ascii="Arial" w:hAnsi="Arial" w:cs="Arial"/>
          <w:sz w:val="24"/>
          <w:szCs w:val="24"/>
          <w:lang w:val="en-US"/>
        </w:rPr>
        <w:t>,</w:t>
      </w:r>
      <w:r w:rsidR="00C47B22">
        <w:rPr>
          <w:rFonts w:ascii="Arial" w:hAnsi="Arial" w:cs="Arial"/>
          <w:sz w:val="24"/>
          <w:szCs w:val="24"/>
          <w:lang w:val="en-US"/>
        </w:rPr>
        <w:t xml:space="preserve"> and conveyancer</w:t>
      </w:r>
      <w:r w:rsidR="00AF6DEA" w:rsidRPr="0080796E">
        <w:rPr>
          <w:rFonts w:ascii="Arial" w:hAnsi="Arial" w:cs="Arial"/>
          <w:sz w:val="24"/>
          <w:szCs w:val="24"/>
          <w:lang w:val="en-US"/>
        </w:rPr>
        <w:t>s</w:t>
      </w:r>
      <w:r w:rsidR="00C47B22">
        <w:rPr>
          <w:rFonts w:ascii="Arial" w:hAnsi="Arial" w:cs="Arial"/>
          <w:sz w:val="24"/>
          <w:szCs w:val="24"/>
          <w:lang w:val="en-US"/>
        </w:rPr>
        <w:t>’</w:t>
      </w:r>
      <w:r w:rsidR="00AF6DEA" w:rsidRPr="0080796E">
        <w:rPr>
          <w:rFonts w:ascii="Arial" w:hAnsi="Arial" w:cs="Arial"/>
          <w:sz w:val="24"/>
          <w:szCs w:val="24"/>
          <w:lang w:val="en-US"/>
        </w:rPr>
        <w:t xml:space="preserve"> fees. </w:t>
      </w:r>
      <w:r w:rsidRPr="0080796E">
        <w:rPr>
          <w:rFonts w:ascii="Arial" w:hAnsi="Arial" w:cs="Arial"/>
          <w:sz w:val="24"/>
          <w:szCs w:val="24"/>
          <w:lang w:val="en-US"/>
        </w:rPr>
        <w:t>All told, Mr Hausiku on behalf of</w:t>
      </w:r>
      <w:r w:rsidR="00A91ED9" w:rsidRPr="0080796E">
        <w:rPr>
          <w:rFonts w:ascii="Arial" w:hAnsi="Arial" w:cs="Arial"/>
          <w:sz w:val="24"/>
          <w:szCs w:val="24"/>
          <w:lang w:val="en-US"/>
        </w:rPr>
        <w:t xml:space="preserve"> and in favour of</w:t>
      </w:r>
      <w:r w:rsidRPr="0080796E">
        <w:rPr>
          <w:rFonts w:ascii="Arial" w:hAnsi="Arial" w:cs="Arial"/>
          <w:sz w:val="24"/>
          <w:szCs w:val="24"/>
          <w:lang w:val="en-US"/>
        </w:rPr>
        <w:t xml:space="preserve"> </w:t>
      </w:r>
      <w:r w:rsidR="00D406CC">
        <w:rPr>
          <w:rFonts w:ascii="Arial" w:hAnsi="Arial" w:cs="Arial"/>
          <w:sz w:val="24"/>
          <w:szCs w:val="24"/>
          <w:lang w:val="en-US"/>
        </w:rPr>
        <w:t xml:space="preserve">DTA </w:t>
      </w:r>
      <w:r w:rsidR="007A3A2C">
        <w:rPr>
          <w:rFonts w:ascii="Arial" w:hAnsi="Arial" w:cs="Arial"/>
          <w:sz w:val="24"/>
          <w:szCs w:val="24"/>
          <w:lang w:val="en-US"/>
        </w:rPr>
        <w:t>paid a total amount of N$</w:t>
      </w:r>
      <w:r w:rsidRPr="0080796E">
        <w:rPr>
          <w:rFonts w:ascii="Arial" w:hAnsi="Arial" w:cs="Arial"/>
          <w:sz w:val="24"/>
          <w:szCs w:val="24"/>
          <w:lang w:val="en-US"/>
        </w:rPr>
        <w:t>312</w:t>
      </w:r>
      <w:r w:rsidR="007A3A2C">
        <w:rPr>
          <w:rFonts w:ascii="Arial" w:hAnsi="Arial" w:cs="Arial"/>
          <w:sz w:val="24"/>
          <w:szCs w:val="24"/>
          <w:lang w:val="en-US"/>
        </w:rPr>
        <w:t xml:space="preserve"> </w:t>
      </w:r>
      <w:r w:rsidRPr="0080796E">
        <w:rPr>
          <w:rFonts w:ascii="Arial" w:hAnsi="Arial" w:cs="Arial"/>
          <w:sz w:val="24"/>
          <w:szCs w:val="24"/>
          <w:lang w:val="en-US"/>
        </w:rPr>
        <w:t>823 in respect of the two-way transaction.</w:t>
      </w:r>
    </w:p>
    <w:p w14:paraId="2D71FBCD" w14:textId="77777777" w:rsidR="00BA66C3" w:rsidRPr="0080796E" w:rsidRDefault="00BA66C3" w:rsidP="00F355DB">
      <w:pPr>
        <w:spacing w:line="480" w:lineRule="auto"/>
        <w:jc w:val="both"/>
        <w:rPr>
          <w:rFonts w:ascii="Arial" w:hAnsi="Arial" w:cs="Arial"/>
          <w:lang w:val="en-US"/>
        </w:rPr>
      </w:pPr>
    </w:p>
    <w:p w14:paraId="77A6CBC2" w14:textId="5783689D" w:rsidR="00582FA5" w:rsidRDefault="00AF6DEA" w:rsidP="0080796E">
      <w:pPr>
        <w:pStyle w:val="NoSpacing"/>
        <w:numPr>
          <w:ilvl w:val="0"/>
          <w:numId w:val="7"/>
        </w:numPr>
        <w:spacing w:line="480" w:lineRule="auto"/>
        <w:ind w:left="0" w:firstLine="0"/>
        <w:jc w:val="both"/>
        <w:rPr>
          <w:rFonts w:ascii="Arial" w:hAnsi="Arial" w:cs="Arial"/>
          <w:lang w:val="en-US"/>
        </w:rPr>
      </w:pPr>
      <w:r w:rsidRPr="0080796E">
        <w:rPr>
          <w:rFonts w:ascii="Arial" w:hAnsi="Arial" w:cs="Arial"/>
          <w:sz w:val="24"/>
          <w:szCs w:val="24"/>
          <w:lang w:val="en-US"/>
        </w:rPr>
        <w:t>River View paid the purchase consideration for the land</w:t>
      </w:r>
      <w:r w:rsidR="00A91ED9" w:rsidRPr="0080796E">
        <w:rPr>
          <w:rFonts w:ascii="Arial" w:hAnsi="Arial" w:cs="Arial"/>
          <w:sz w:val="24"/>
          <w:szCs w:val="24"/>
          <w:lang w:val="en-US"/>
        </w:rPr>
        <w:t xml:space="preserve"> </w:t>
      </w:r>
      <w:r w:rsidR="00D406CC">
        <w:rPr>
          <w:rFonts w:ascii="Arial" w:hAnsi="Arial" w:cs="Arial"/>
          <w:sz w:val="24"/>
          <w:szCs w:val="24"/>
          <w:lang w:val="en-US"/>
        </w:rPr>
        <w:t xml:space="preserve">as demanded by DTA’s </w:t>
      </w:r>
      <w:r w:rsidRPr="0080796E">
        <w:rPr>
          <w:rFonts w:ascii="Arial" w:hAnsi="Arial" w:cs="Arial"/>
          <w:sz w:val="24"/>
          <w:szCs w:val="24"/>
          <w:lang w:val="en-US"/>
        </w:rPr>
        <w:t xml:space="preserve">regional leaders </w:t>
      </w:r>
      <w:r w:rsidR="00D406CC">
        <w:rPr>
          <w:rFonts w:ascii="Arial" w:hAnsi="Arial" w:cs="Arial"/>
          <w:sz w:val="24"/>
          <w:szCs w:val="24"/>
          <w:lang w:val="en-US"/>
        </w:rPr>
        <w:t xml:space="preserve">without the involvement of the national leadership with the </w:t>
      </w:r>
      <w:r w:rsidR="003A09A9">
        <w:rPr>
          <w:rFonts w:ascii="Arial" w:hAnsi="Arial" w:cs="Arial"/>
          <w:sz w:val="24"/>
          <w:szCs w:val="24"/>
          <w:lang w:val="en-US"/>
        </w:rPr>
        <w:t xml:space="preserve">actual authority to bind the party in respect of the sale of its </w:t>
      </w:r>
      <w:r w:rsidR="00083DFA">
        <w:rPr>
          <w:rFonts w:ascii="Arial" w:hAnsi="Arial" w:cs="Arial"/>
          <w:sz w:val="24"/>
          <w:szCs w:val="24"/>
          <w:lang w:val="en-US"/>
        </w:rPr>
        <w:t>immovable</w:t>
      </w:r>
      <w:r w:rsidR="003A09A9">
        <w:rPr>
          <w:rFonts w:ascii="Arial" w:hAnsi="Arial" w:cs="Arial"/>
          <w:sz w:val="24"/>
          <w:szCs w:val="24"/>
          <w:lang w:val="en-US"/>
        </w:rPr>
        <w:t xml:space="preserve"> property. </w:t>
      </w:r>
      <w:r w:rsidR="00C46D82" w:rsidRPr="0080796E">
        <w:rPr>
          <w:rFonts w:ascii="Arial" w:hAnsi="Arial" w:cs="Arial"/>
          <w:sz w:val="24"/>
          <w:szCs w:val="24"/>
          <w:lang w:val="en-US"/>
        </w:rPr>
        <w:t xml:space="preserve">The purchase consideration for the </w:t>
      </w:r>
      <w:r w:rsidR="00BE616D" w:rsidRPr="0080796E">
        <w:rPr>
          <w:rFonts w:ascii="Arial" w:hAnsi="Arial" w:cs="Arial"/>
          <w:sz w:val="24"/>
          <w:szCs w:val="24"/>
          <w:lang w:val="en-US"/>
        </w:rPr>
        <w:t xml:space="preserve">disputed </w:t>
      </w:r>
      <w:r w:rsidR="00C46D82" w:rsidRPr="0080796E">
        <w:rPr>
          <w:rFonts w:ascii="Arial" w:hAnsi="Arial" w:cs="Arial"/>
          <w:sz w:val="24"/>
          <w:szCs w:val="24"/>
          <w:lang w:val="en-US"/>
        </w:rPr>
        <w:t>land paid by River View was pai</w:t>
      </w:r>
      <w:r w:rsidR="000E63FC" w:rsidRPr="0080796E">
        <w:rPr>
          <w:rFonts w:ascii="Arial" w:hAnsi="Arial" w:cs="Arial"/>
          <w:sz w:val="24"/>
          <w:szCs w:val="24"/>
          <w:lang w:val="en-US"/>
        </w:rPr>
        <w:t>d into an account of the Youth League</w:t>
      </w:r>
      <w:r w:rsidR="00C46D82" w:rsidRPr="0080796E">
        <w:rPr>
          <w:rFonts w:ascii="Arial" w:hAnsi="Arial" w:cs="Arial"/>
          <w:sz w:val="24"/>
          <w:szCs w:val="24"/>
          <w:lang w:val="en-US"/>
        </w:rPr>
        <w:t xml:space="preserve"> of the DTA operated and controlled by the regional leaders of the DTA</w:t>
      </w:r>
      <w:r w:rsidR="00073075" w:rsidRPr="0080796E">
        <w:rPr>
          <w:rFonts w:ascii="Arial" w:hAnsi="Arial" w:cs="Arial"/>
          <w:sz w:val="24"/>
          <w:szCs w:val="24"/>
          <w:lang w:val="en-US"/>
        </w:rPr>
        <w:t>.</w:t>
      </w:r>
    </w:p>
    <w:p w14:paraId="3F158B85" w14:textId="77777777" w:rsidR="00073075" w:rsidRDefault="00073075" w:rsidP="00F355DB">
      <w:pPr>
        <w:spacing w:line="480" w:lineRule="auto"/>
        <w:jc w:val="both"/>
        <w:rPr>
          <w:rFonts w:ascii="Arial" w:hAnsi="Arial" w:cs="Arial"/>
          <w:lang w:val="en-US"/>
        </w:rPr>
      </w:pPr>
    </w:p>
    <w:p w14:paraId="1BA6750E" w14:textId="2A7E756F" w:rsidR="00D270BF" w:rsidRPr="00DA4A51" w:rsidRDefault="00D270BF" w:rsidP="00F355DB">
      <w:pPr>
        <w:pStyle w:val="ListParagraph"/>
        <w:spacing w:line="480" w:lineRule="auto"/>
        <w:ind w:left="0"/>
        <w:jc w:val="both"/>
        <w:rPr>
          <w:rFonts w:ascii="Arial" w:hAnsi="Arial" w:cs="Arial"/>
          <w:lang w:val="en-US"/>
        </w:rPr>
      </w:pPr>
      <w:r w:rsidRPr="00DA4A51">
        <w:rPr>
          <w:rFonts w:ascii="Arial" w:hAnsi="Arial" w:cs="Arial"/>
          <w:u w:val="single"/>
          <w:lang w:val="en-US"/>
        </w:rPr>
        <w:t xml:space="preserve">The </w:t>
      </w:r>
      <w:r w:rsidR="00C47B22">
        <w:rPr>
          <w:rFonts w:ascii="Arial" w:hAnsi="Arial" w:cs="Arial"/>
          <w:u w:val="single"/>
          <w:lang w:val="en-US"/>
        </w:rPr>
        <w:t>e</w:t>
      </w:r>
      <w:r w:rsidR="00073075">
        <w:rPr>
          <w:rFonts w:ascii="Arial" w:hAnsi="Arial" w:cs="Arial"/>
          <w:u w:val="single"/>
          <w:lang w:val="en-US"/>
        </w:rPr>
        <w:t>vidence</w:t>
      </w:r>
    </w:p>
    <w:p w14:paraId="5BE55DE5" w14:textId="4B5FF5CE" w:rsidR="00D270BF" w:rsidRPr="0080796E" w:rsidRDefault="00D270BF" w:rsidP="0080796E">
      <w:pPr>
        <w:pStyle w:val="NoSpacing"/>
        <w:numPr>
          <w:ilvl w:val="0"/>
          <w:numId w:val="7"/>
        </w:numPr>
        <w:spacing w:line="480" w:lineRule="auto"/>
        <w:ind w:left="0" w:firstLine="0"/>
        <w:jc w:val="both"/>
        <w:rPr>
          <w:rFonts w:ascii="Arial" w:hAnsi="Arial" w:cs="Arial"/>
          <w:sz w:val="24"/>
          <w:szCs w:val="24"/>
          <w:lang w:val="en-US"/>
        </w:rPr>
      </w:pPr>
      <w:r w:rsidRPr="0080796E">
        <w:rPr>
          <w:rFonts w:ascii="Arial" w:hAnsi="Arial" w:cs="Arial"/>
          <w:sz w:val="24"/>
          <w:szCs w:val="24"/>
          <w:lang w:val="en-US"/>
        </w:rPr>
        <w:t>The court</w:t>
      </w:r>
      <w:r w:rsidR="00615C0E">
        <w:rPr>
          <w:rFonts w:ascii="Arial" w:hAnsi="Arial" w:cs="Arial"/>
          <w:sz w:val="24"/>
          <w:szCs w:val="24"/>
          <w:lang w:val="en-US"/>
        </w:rPr>
        <w:t xml:space="preserve"> </w:t>
      </w:r>
      <w:r w:rsidR="00615C0E" w:rsidRPr="00615C0E">
        <w:rPr>
          <w:rFonts w:ascii="Arial" w:hAnsi="Arial" w:cs="Arial"/>
          <w:i/>
          <w:sz w:val="24"/>
          <w:szCs w:val="24"/>
          <w:lang w:val="en-US"/>
        </w:rPr>
        <w:t>a quo</w:t>
      </w:r>
      <w:r w:rsidRPr="0080796E">
        <w:rPr>
          <w:rFonts w:ascii="Arial" w:hAnsi="Arial" w:cs="Arial"/>
          <w:sz w:val="24"/>
          <w:szCs w:val="24"/>
          <w:lang w:val="en-US"/>
        </w:rPr>
        <w:t xml:space="preserve"> heard oral evidence from DTA and River </w:t>
      </w:r>
      <w:r w:rsidR="00AD3546" w:rsidRPr="0080796E">
        <w:rPr>
          <w:rFonts w:ascii="Arial" w:hAnsi="Arial" w:cs="Arial"/>
          <w:sz w:val="24"/>
          <w:szCs w:val="24"/>
          <w:lang w:val="en-US"/>
        </w:rPr>
        <w:t>View. On behalf of the DTA its p</w:t>
      </w:r>
      <w:r w:rsidR="00BE616D" w:rsidRPr="0080796E">
        <w:rPr>
          <w:rFonts w:ascii="Arial" w:hAnsi="Arial" w:cs="Arial"/>
          <w:sz w:val="24"/>
          <w:szCs w:val="24"/>
          <w:lang w:val="en-US"/>
        </w:rPr>
        <w:t>resident (Mr Venaani) and the national c</w:t>
      </w:r>
      <w:r w:rsidRPr="0080796E">
        <w:rPr>
          <w:rFonts w:ascii="Arial" w:hAnsi="Arial" w:cs="Arial"/>
          <w:sz w:val="24"/>
          <w:szCs w:val="24"/>
          <w:lang w:val="en-US"/>
        </w:rPr>
        <w:t>hairperson (Ms Van den Heever) testified while Mr Hausiku testified on behalf of River View.</w:t>
      </w:r>
    </w:p>
    <w:p w14:paraId="095002CC" w14:textId="77777777" w:rsidR="00D270BF" w:rsidRPr="0080796E" w:rsidRDefault="00D270BF" w:rsidP="00F355DB">
      <w:pPr>
        <w:pStyle w:val="ListParagraph"/>
        <w:spacing w:line="480" w:lineRule="auto"/>
        <w:ind w:left="0"/>
        <w:jc w:val="both"/>
        <w:rPr>
          <w:rFonts w:ascii="Arial" w:hAnsi="Arial" w:cs="Arial"/>
          <w:lang w:val="en-US"/>
        </w:rPr>
      </w:pPr>
    </w:p>
    <w:p w14:paraId="506BDB5F" w14:textId="77777777" w:rsidR="00C47B22" w:rsidRDefault="00C47B22" w:rsidP="00F355DB">
      <w:pPr>
        <w:pStyle w:val="ListParagraph"/>
        <w:spacing w:line="480" w:lineRule="auto"/>
        <w:ind w:left="0"/>
        <w:jc w:val="both"/>
        <w:rPr>
          <w:rFonts w:ascii="Arial" w:hAnsi="Arial" w:cs="Arial"/>
          <w:i/>
          <w:iCs/>
          <w:lang w:val="en-US"/>
        </w:rPr>
      </w:pPr>
    </w:p>
    <w:p w14:paraId="5D87EF19" w14:textId="646E4D22" w:rsidR="00D270BF" w:rsidRPr="0080796E" w:rsidRDefault="00073075" w:rsidP="00F355DB">
      <w:pPr>
        <w:pStyle w:val="ListParagraph"/>
        <w:spacing w:line="480" w:lineRule="auto"/>
        <w:ind w:left="0"/>
        <w:jc w:val="both"/>
        <w:rPr>
          <w:rFonts w:ascii="Arial" w:hAnsi="Arial" w:cs="Arial"/>
          <w:i/>
          <w:iCs/>
          <w:lang w:val="en-US"/>
        </w:rPr>
      </w:pPr>
      <w:r w:rsidRPr="0080796E">
        <w:rPr>
          <w:rFonts w:ascii="Arial" w:hAnsi="Arial" w:cs="Arial"/>
          <w:i/>
          <w:iCs/>
          <w:lang w:val="en-US"/>
        </w:rPr>
        <w:lastRenderedPageBreak/>
        <w:t xml:space="preserve">Mr </w:t>
      </w:r>
      <w:r w:rsidR="00D270BF" w:rsidRPr="0080796E">
        <w:rPr>
          <w:rFonts w:ascii="Arial" w:hAnsi="Arial" w:cs="Arial"/>
          <w:i/>
          <w:iCs/>
          <w:lang w:val="en-US"/>
        </w:rPr>
        <w:t xml:space="preserve">Mchenry Venaani </w:t>
      </w:r>
    </w:p>
    <w:p w14:paraId="42EC8B9E" w14:textId="4FA44E15" w:rsidR="00D270BF" w:rsidRPr="0080796E" w:rsidRDefault="00D270BF" w:rsidP="0080796E">
      <w:pPr>
        <w:pStyle w:val="NoSpacing"/>
        <w:numPr>
          <w:ilvl w:val="0"/>
          <w:numId w:val="7"/>
        </w:numPr>
        <w:spacing w:line="480" w:lineRule="auto"/>
        <w:ind w:left="0" w:firstLine="0"/>
        <w:jc w:val="both"/>
        <w:rPr>
          <w:rFonts w:ascii="Arial" w:hAnsi="Arial" w:cs="Arial"/>
          <w:sz w:val="24"/>
          <w:szCs w:val="24"/>
          <w:lang w:val="en-US"/>
        </w:rPr>
      </w:pPr>
      <w:r w:rsidRPr="0080796E">
        <w:rPr>
          <w:rFonts w:ascii="Arial" w:hAnsi="Arial" w:cs="Arial"/>
          <w:sz w:val="24"/>
          <w:szCs w:val="24"/>
          <w:lang w:val="en-US"/>
        </w:rPr>
        <w:t xml:space="preserve">Mr Venaani testified that Mr </w:t>
      </w:r>
      <w:r w:rsidRPr="00BE4D00">
        <w:rPr>
          <w:rFonts w:ascii="Arial" w:hAnsi="Arial" w:cs="Arial"/>
          <w:sz w:val="24"/>
          <w:szCs w:val="24"/>
          <w:lang w:val="en-US"/>
        </w:rPr>
        <w:t>Kashera’s representations to Mr Hausiku that he</w:t>
      </w:r>
      <w:r w:rsidRPr="0080796E">
        <w:rPr>
          <w:rFonts w:ascii="Arial" w:hAnsi="Arial" w:cs="Arial"/>
          <w:sz w:val="24"/>
          <w:szCs w:val="24"/>
          <w:lang w:val="en-US"/>
        </w:rPr>
        <w:t xml:space="preserve"> was duly authorised by the DTA to alienate the disputed land were false</w:t>
      </w:r>
      <w:r w:rsidR="00073075" w:rsidRPr="0080796E">
        <w:rPr>
          <w:rFonts w:ascii="Arial" w:hAnsi="Arial" w:cs="Arial"/>
          <w:sz w:val="24"/>
          <w:szCs w:val="24"/>
          <w:lang w:val="en-US"/>
        </w:rPr>
        <w:t>;</w:t>
      </w:r>
      <w:r w:rsidRPr="0080796E">
        <w:rPr>
          <w:rFonts w:ascii="Arial" w:hAnsi="Arial" w:cs="Arial"/>
          <w:sz w:val="24"/>
          <w:szCs w:val="24"/>
          <w:lang w:val="en-US"/>
        </w:rPr>
        <w:t xml:space="preserve"> that the DTA had not authorised the sale of the disputed land</w:t>
      </w:r>
      <w:r w:rsidR="00073075" w:rsidRPr="0080796E">
        <w:rPr>
          <w:rFonts w:ascii="Arial" w:hAnsi="Arial" w:cs="Arial"/>
          <w:sz w:val="24"/>
          <w:szCs w:val="24"/>
          <w:lang w:val="en-US"/>
        </w:rPr>
        <w:t>;</w:t>
      </w:r>
      <w:r w:rsidR="00C47B22">
        <w:rPr>
          <w:rFonts w:ascii="Arial" w:hAnsi="Arial" w:cs="Arial"/>
          <w:sz w:val="24"/>
          <w:szCs w:val="24"/>
          <w:lang w:val="en-US"/>
        </w:rPr>
        <w:t xml:space="preserve"> that</w:t>
      </w:r>
      <w:r w:rsidRPr="0080796E">
        <w:rPr>
          <w:rFonts w:ascii="Arial" w:hAnsi="Arial" w:cs="Arial"/>
          <w:sz w:val="24"/>
          <w:szCs w:val="24"/>
          <w:lang w:val="en-US"/>
        </w:rPr>
        <w:t xml:space="preserve"> Mr Kashera’s position in the party was not one of those contemplated in clause 22.2 of the </w:t>
      </w:r>
      <w:r w:rsidR="00073075" w:rsidRPr="0080796E">
        <w:rPr>
          <w:rFonts w:ascii="Arial" w:hAnsi="Arial" w:cs="Arial"/>
          <w:sz w:val="24"/>
          <w:szCs w:val="24"/>
          <w:lang w:val="en-US"/>
        </w:rPr>
        <w:t>Party</w:t>
      </w:r>
      <w:r w:rsidR="00C47B22">
        <w:rPr>
          <w:rFonts w:ascii="Arial" w:hAnsi="Arial" w:cs="Arial"/>
          <w:sz w:val="24"/>
          <w:szCs w:val="24"/>
          <w:lang w:val="en-US"/>
        </w:rPr>
        <w:t>’s</w:t>
      </w:r>
      <w:r w:rsidR="00073075" w:rsidRPr="0080796E">
        <w:rPr>
          <w:rFonts w:ascii="Arial" w:hAnsi="Arial" w:cs="Arial"/>
          <w:sz w:val="24"/>
          <w:szCs w:val="24"/>
          <w:lang w:val="en-US"/>
        </w:rPr>
        <w:t xml:space="preserve"> </w:t>
      </w:r>
      <w:r w:rsidRPr="0080796E">
        <w:rPr>
          <w:rFonts w:ascii="Arial" w:hAnsi="Arial" w:cs="Arial"/>
          <w:sz w:val="24"/>
          <w:szCs w:val="24"/>
          <w:lang w:val="en-US"/>
        </w:rPr>
        <w:t>constitution and that there was no duly passed resolution which was necessary if the DTA were</w:t>
      </w:r>
      <w:r w:rsidR="00073075" w:rsidRPr="0080796E">
        <w:rPr>
          <w:rFonts w:ascii="Arial" w:hAnsi="Arial" w:cs="Arial"/>
          <w:sz w:val="24"/>
          <w:szCs w:val="24"/>
          <w:lang w:val="en-US"/>
        </w:rPr>
        <w:t xml:space="preserve"> to</w:t>
      </w:r>
      <w:r w:rsidRPr="0080796E">
        <w:rPr>
          <w:rFonts w:ascii="Arial" w:hAnsi="Arial" w:cs="Arial"/>
          <w:sz w:val="24"/>
          <w:szCs w:val="24"/>
          <w:lang w:val="en-US"/>
        </w:rPr>
        <w:t xml:space="preserve"> sell </w:t>
      </w:r>
      <w:r w:rsidR="00AD3546" w:rsidRPr="0080796E">
        <w:rPr>
          <w:rFonts w:ascii="Arial" w:hAnsi="Arial" w:cs="Arial"/>
          <w:sz w:val="24"/>
          <w:szCs w:val="24"/>
          <w:lang w:val="en-US"/>
        </w:rPr>
        <w:t xml:space="preserve">its immovable </w:t>
      </w:r>
      <w:r w:rsidRPr="0080796E">
        <w:rPr>
          <w:rFonts w:ascii="Arial" w:hAnsi="Arial" w:cs="Arial"/>
          <w:sz w:val="24"/>
          <w:szCs w:val="24"/>
          <w:lang w:val="en-US"/>
        </w:rPr>
        <w:t>property.</w:t>
      </w:r>
    </w:p>
    <w:p w14:paraId="07B4F7B5" w14:textId="77777777" w:rsidR="00D270BF" w:rsidRPr="0080796E" w:rsidRDefault="00D270BF" w:rsidP="00F355DB">
      <w:pPr>
        <w:pStyle w:val="ListParagraph"/>
        <w:spacing w:line="480" w:lineRule="auto"/>
        <w:ind w:left="0"/>
        <w:jc w:val="both"/>
        <w:rPr>
          <w:rFonts w:ascii="Arial" w:hAnsi="Arial" w:cs="Arial"/>
          <w:lang w:val="en-US"/>
        </w:rPr>
      </w:pPr>
    </w:p>
    <w:p w14:paraId="57162B69" w14:textId="005E5FCF" w:rsidR="00B06198" w:rsidRPr="0080796E" w:rsidRDefault="00D270BF" w:rsidP="0080796E">
      <w:pPr>
        <w:pStyle w:val="NoSpacing"/>
        <w:numPr>
          <w:ilvl w:val="0"/>
          <w:numId w:val="7"/>
        </w:numPr>
        <w:spacing w:line="480" w:lineRule="auto"/>
        <w:ind w:left="0" w:firstLine="0"/>
        <w:jc w:val="both"/>
        <w:rPr>
          <w:rFonts w:ascii="Arial" w:hAnsi="Arial" w:cs="Arial"/>
          <w:sz w:val="24"/>
          <w:szCs w:val="24"/>
          <w:lang w:val="en-US"/>
        </w:rPr>
      </w:pPr>
      <w:r w:rsidRPr="0080796E">
        <w:rPr>
          <w:rFonts w:ascii="Arial" w:hAnsi="Arial" w:cs="Arial"/>
          <w:sz w:val="24"/>
          <w:szCs w:val="24"/>
          <w:lang w:val="en-US"/>
        </w:rPr>
        <w:t>The witness testified that although the transaction between Mr Kashera and the RTC was not authorised by the DTA it was to the benefit of the party and therefore not disavowed</w:t>
      </w:r>
      <w:r w:rsidR="00BE4D00">
        <w:rPr>
          <w:rFonts w:ascii="Arial" w:hAnsi="Arial" w:cs="Arial"/>
          <w:sz w:val="24"/>
          <w:szCs w:val="24"/>
          <w:lang w:val="en-US"/>
        </w:rPr>
        <w:t xml:space="preserve"> (voided)</w:t>
      </w:r>
      <w:r w:rsidRPr="0080796E">
        <w:rPr>
          <w:rFonts w:ascii="Arial" w:hAnsi="Arial" w:cs="Arial"/>
          <w:sz w:val="24"/>
          <w:szCs w:val="24"/>
          <w:lang w:val="en-US"/>
        </w:rPr>
        <w:t xml:space="preserve"> by </w:t>
      </w:r>
      <w:r w:rsidR="00BE4D00">
        <w:rPr>
          <w:rFonts w:ascii="Arial" w:hAnsi="Arial" w:cs="Arial"/>
          <w:sz w:val="24"/>
          <w:szCs w:val="24"/>
          <w:lang w:val="en-US"/>
        </w:rPr>
        <w:t xml:space="preserve">it. </w:t>
      </w:r>
      <w:r w:rsidR="009466F8" w:rsidRPr="0080796E">
        <w:rPr>
          <w:rFonts w:ascii="Arial" w:hAnsi="Arial" w:cs="Arial"/>
          <w:sz w:val="24"/>
          <w:szCs w:val="24"/>
          <w:lang w:val="en-US"/>
        </w:rPr>
        <w:t>It was Mr Venaani’s position that any member</w:t>
      </w:r>
      <w:r w:rsidR="00546E28" w:rsidRPr="0080796E">
        <w:rPr>
          <w:rFonts w:ascii="Arial" w:hAnsi="Arial" w:cs="Arial"/>
          <w:sz w:val="24"/>
          <w:szCs w:val="24"/>
          <w:lang w:val="en-US"/>
        </w:rPr>
        <w:t xml:space="preserve"> of the party should work in the best interest of that party, so if a particular member of the party does something to promote the interest of the party, although not sanctioned</w:t>
      </w:r>
      <w:r w:rsidR="00014A39" w:rsidRPr="0080796E">
        <w:rPr>
          <w:rFonts w:ascii="Arial" w:hAnsi="Arial" w:cs="Arial"/>
          <w:sz w:val="24"/>
          <w:szCs w:val="24"/>
          <w:lang w:val="en-US"/>
        </w:rPr>
        <w:t xml:space="preserve"> by it, </w:t>
      </w:r>
      <w:r w:rsidR="00546E28" w:rsidRPr="0080796E">
        <w:rPr>
          <w:rFonts w:ascii="Arial" w:hAnsi="Arial" w:cs="Arial"/>
          <w:sz w:val="24"/>
          <w:szCs w:val="24"/>
          <w:lang w:val="en-US"/>
        </w:rPr>
        <w:t>it is in the interest of the party to be able to benefit from that</w:t>
      </w:r>
      <w:r w:rsidR="00DA7575">
        <w:rPr>
          <w:rFonts w:ascii="Arial" w:hAnsi="Arial" w:cs="Arial"/>
          <w:sz w:val="24"/>
          <w:szCs w:val="24"/>
          <w:lang w:val="en-US"/>
        </w:rPr>
        <w:t>.</w:t>
      </w:r>
      <w:r w:rsidR="00546E28" w:rsidRPr="0080796E">
        <w:rPr>
          <w:rFonts w:ascii="Arial" w:hAnsi="Arial" w:cs="Arial"/>
          <w:sz w:val="24"/>
          <w:szCs w:val="24"/>
          <w:lang w:val="en-US"/>
        </w:rPr>
        <w:t xml:space="preserve"> However, if </w:t>
      </w:r>
      <w:r w:rsidR="00DA7575">
        <w:rPr>
          <w:rFonts w:ascii="Arial" w:hAnsi="Arial" w:cs="Arial"/>
          <w:sz w:val="24"/>
          <w:szCs w:val="24"/>
          <w:lang w:val="en-US"/>
        </w:rPr>
        <w:t xml:space="preserve">a </w:t>
      </w:r>
      <w:r w:rsidR="00546E28" w:rsidRPr="0080796E">
        <w:rPr>
          <w:rFonts w:ascii="Arial" w:hAnsi="Arial" w:cs="Arial"/>
          <w:sz w:val="24"/>
          <w:szCs w:val="24"/>
          <w:lang w:val="en-US"/>
        </w:rPr>
        <w:t>member act</w:t>
      </w:r>
      <w:r w:rsidR="00DA7575">
        <w:rPr>
          <w:rFonts w:ascii="Arial" w:hAnsi="Arial" w:cs="Arial"/>
          <w:sz w:val="24"/>
          <w:szCs w:val="24"/>
          <w:lang w:val="en-US"/>
        </w:rPr>
        <w:t>s</w:t>
      </w:r>
      <w:r w:rsidR="00546E28" w:rsidRPr="0080796E">
        <w:rPr>
          <w:rFonts w:ascii="Arial" w:hAnsi="Arial" w:cs="Arial"/>
          <w:sz w:val="24"/>
          <w:szCs w:val="24"/>
          <w:lang w:val="en-US"/>
        </w:rPr>
        <w:t xml:space="preserve"> </w:t>
      </w:r>
      <w:r w:rsidR="00DA7575">
        <w:rPr>
          <w:rFonts w:ascii="Arial" w:hAnsi="Arial" w:cs="Arial"/>
          <w:sz w:val="24"/>
          <w:szCs w:val="24"/>
          <w:lang w:val="en-US"/>
        </w:rPr>
        <w:t>against the</w:t>
      </w:r>
      <w:r w:rsidR="00546E28" w:rsidRPr="0080796E">
        <w:rPr>
          <w:rFonts w:ascii="Arial" w:hAnsi="Arial" w:cs="Arial"/>
          <w:sz w:val="24"/>
          <w:szCs w:val="24"/>
          <w:lang w:val="en-US"/>
        </w:rPr>
        <w:t xml:space="preserve"> interests of the party </w:t>
      </w:r>
      <w:r w:rsidR="00DA7575">
        <w:rPr>
          <w:rFonts w:ascii="Arial" w:hAnsi="Arial" w:cs="Arial"/>
          <w:sz w:val="24"/>
          <w:szCs w:val="24"/>
          <w:lang w:val="en-US"/>
        </w:rPr>
        <w:t xml:space="preserve">and </w:t>
      </w:r>
      <w:r w:rsidR="00546E28" w:rsidRPr="0080796E">
        <w:rPr>
          <w:rFonts w:ascii="Arial" w:hAnsi="Arial" w:cs="Arial"/>
          <w:sz w:val="24"/>
          <w:szCs w:val="24"/>
          <w:lang w:val="en-US"/>
        </w:rPr>
        <w:t xml:space="preserve">without authority that cannot be </w:t>
      </w:r>
      <w:r w:rsidR="00DA7575">
        <w:rPr>
          <w:rFonts w:ascii="Arial" w:hAnsi="Arial" w:cs="Arial"/>
          <w:sz w:val="24"/>
          <w:szCs w:val="24"/>
          <w:lang w:val="en-US"/>
        </w:rPr>
        <w:t xml:space="preserve">acceptable. </w:t>
      </w:r>
    </w:p>
    <w:p w14:paraId="05833D1A" w14:textId="77777777" w:rsidR="00B06198" w:rsidRPr="0080796E" w:rsidRDefault="00B06198" w:rsidP="00F355DB">
      <w:pPr>
        <w:pStyle w:val="ListParagraph"/>
        <w:spacing w:line="480" w:lineRule="auto"/>
        <w:ind w:left="0"/>
        <w:jc w:val="both"/>
        <w:rPr>
          <w:rFonts w:ascii="Arial" w:hAnsi="Arial" w:cs="Arial"/>
          <w:lang w:val="en-US"/>
        </w:rPr>
      </w:pPr>
    </w:p>
    <w:p w14:paraId="6A083B74" w14:textId="6CA12030" w:rsidR="00D270BF" w:rsidRPr="0080796E" w:rsidRDefault="00D270BF" w:rsidP="0080796E">
      <w:pPr>
        <w:pStyle w:val="NoSpacing"/>
        <w:numPr>
          <w:ilvl w:val="0"/>
          <w:numId w:val="7"/>
        </w:numPr>
        <w:spacing w:line="480" w:lineRule="auto"/>
        <w:ind w:left="0" w:firstLine="0"/>
        <w:jc w:val="both"/>
        <w:rPr>
          <w:rFonts w:ascii="Arial" w:hAnsi="Arial" w:cs="Arial"/>
          <w:sz w:val="24"/>
          <w:szCs w:val="24"/>
          <w:lang w:val="en-US"/>
        </w:rPr>
      </w:pPr>
      <w:r w:rsidRPr="0080796E">
        <w:rPr>
          <w:rFonts w:ascii="Arial" w:hAnsi="Arial" w:cs="Arial"/>
          <w:sz w:val="24"/>
          <w:szCs w:val="24"/>
          <w:lang w:val="en-US"/>
        </w:rPr>
        <w:t>When challenged under cross-examination by River View’s counsel that on 15 August 2013 at the conveyancers’ office three representatives of DTA informed the conveyancers that they had authority by signing and witnessing the power of attorney, Mr Venaani replied that there was no resolution giving them the power of attorney. He further testified that the buyer should have exercised due diligence. As to the money paid by River View to the DTA as purchase consideratio</w:t>
      </w:r>
      <w:r w:rsidR="00B06198" w:rsidRPr="0080796E">
        <w:rPr>
          <w:rFonts w:ascii="Arial" w:hAnsi="Arial" w:cs="Arial"/>
          <w:sz w:val="24"/>
          <w:szCs w:val="24"/>
          <w:lang w:val="en-US"/>
        </w:rPr>
        <w:t>n, Mr Venaani testified that i</w:t>
      </w:r>
      <w:r w:rsidRPr="0080796E">
        <w:rPr>
          <w:rFonts w:ascii="Arial" w:hAnsi="Arial" w:cs="Arial"/>
          <w:sz w:val="24"/>
          <w:szCs w:val="24"/>
          <w:lang w:val="en-US"/>
        </w:rPr>
        <w:t>t was paid</w:t>
      </w:r>
      <w:r w:rsidR="00FC651C">
        <w:rPr>
          <w:rFonts w:ascii="Arial" w:hAnsi="Arial" w:cs="Arial"/>
          <w:sz w:val="24"/>
          <w:szCs w:val="24"/>
          <w:lang w:val="en-US"/>
        </w:rPr>
        <w:t xml:space="preserve"> into the party’s Youth League a</w:t>
      </w:r>
      <w:r w:rsidRPr="0080796E">
        <w:rPr>
          <w:rFonts w:ascii="Arial" w:hAnsi="Arial" w:cs="Arial"/>
          <w:sz w:val="24"/>
          <w:szCs w:val="24"/>
          <w:lang w:val="en-US"/>
        </w:rPr>
        <w:t>ccount opened by Mr Kashera and from which they syphoned the money that was deposited in the said account without DTA’s knowledge.</w:t>
      </w:r>
    </w:p>
    <w:p w14:paraId="58DDBBEA" w14:textId="77777777" w:rsidR="00D270BF" w:rsidRPr="00DA4A51" w:rsidRDefault="00D270BF" w:rsidP="00F355DB">
      <w:pPr>
        <w:pStyle w:val="ListParagraph"/>
        <w:spacing w:line="480" w:lineRule="auto"/>
        <w:ind w:left="0"/>
        <w:jc w:val="both"/>
        <w:rPr>
          <w:rFonts w:ascii="Arial" w:hAnsi="Arial" w:cs="Arial"/>
          <w:lang w:val="en-US"/>
        </w:rPr>
      </w:pPr>
    </w:p>
    <w:p w14:paraId="4D7ED3A1" w14:textId="00CCFF93" w:rsidR="00D270BF" w:rsidRPr="00DA4A51" w:rsidRDefault="00073075" w:rsidP="00F355DB">
      <w:pPr>
        <w:pStyle w:val="ListParagraph"/>
        <w:spacing w:line="480" w:lineRule="auto"/>
        <w:ind w:left="0"/>
        <w:jc w:val="both"/>
        <w:rPr>
          <w:rFonts w:ascii="Arial" w:hAnsi="Arial" w:cs="Arial"/>
          <w:i/>
          <w:iCs/>
          <w:lang w:val="en-US"/>
        </w:rPr>
      </w:pPr>
      <w:r>
        <w:rPr>
          <w:rFonts w:ascii="Arial" w:hAnsi="Arial" w:cs="Arial"/>
          <w:i/>
          <w:iCs/>
          <w:lang w:val="en-US"/>
        </w:rPr>
        <w:t xml:space="preserve">Ms </w:t>
      </w:r>
      <w:r w:rsidR="00D270BF" w:rsidRPr="00DA4A51">
        <w:rPr>
          <w:rFonts w:ascii="Arial" w:hAnsi="Arial" w:cs="Arial"/>
          <w:i/>
          <w:iCs/>
          <w:lang w:val="en-US"/>
        </w:rPr>
        <w:t>Van den Heever</w:t>
      </w:r>
    </w:p>
    <w:p w14:paraId="1589963E" w14:textId="7C5CCF8A" w:rsidR="00D270BF" w:rsidRPr="00B9637B" w:rsidRDefault="00D270BF" w:rsidP="00B9637B">
      <w:pPr>
        <w:pStyle w:val="NoSpacing"/>
        <w:numPr>
          <w:ilvl w:val="0"/>
          <w:numId w:val="7"/>
        </w:numPr>
        <w:spacing w:line="480" w:lineRule="auto"/>
        <w:ind w:left="0" w:firstLine="0"/>
        <w:jc w:val="both"/>
        <w:rPr>
          <w:rFonts w:ascii="Arial" w:hAnsi="Arial" w:cs="Arial"/>
          <w:sz w:val="24"/>
          <w:szCs w:val="24"/>
          <w:lang w:val="en-US"/>
        </w:rPr>
      </w:pPr>
      <w:r w:rsidRPr="00B9637B">
        <w:rPr>
          <w:rFonts w:ascii="Arial" w:hAnsi="Arial" w:cs="Arial"/>
          <w:sz w:val="24"/>
          <w:szCs w:val="24"/>
          <w:lang w:val="en-US"/>
        </w:rPr>
        <w:t>Ms Van den Heever testified that she was tasked to investigate the ‘illegal sale’ of the disputed land. In furtherance of that mandate she convened a meeting of the management committee on 25 April 2014 at Rundu</w:t>
      </w:r>
      <w:r w:rsidR="00E622D3" w:rsidRPr="00B9637B">
        <w:rPr>
          <w:rFonts w:ascii="Arial" w:hAnsi="Arial" w:cs="Arial"/>
          <w:sz w:val="24"/>
          <w:szCs w:val="24"/>
          <w:lang w:val="en-US"/>
        </w:rPr>
        <w:t xml:space="preserve"> comprising</w:t>
      </w:r>
      <w:r w:rsidR="00FC651C">
        <w:rPr>
          <w:rFonts w:ascii="Arial" w:hAnsi="Arial" w:cs="Arial"/>
          <w:sz w:val="24"/>
          <w:szCs w:val="24"/>
          <w:lang w:val="en-US"/>
        </w:rPr>
        <w:t xml:space="preserve"> of</w:t>
      </w:r>
      <w:r w:rsidR="00E622D3" w:rsidRPr="00B9637B">
        <w:rPr>
          <w:rFonts w:ascii="Arial" w:hAnsi="Arial" w:cs="Arial"/>
          <w:sz w:val="24"/>
          <w:szCs w:val="24"/>
          <w:lang w:val="en-US"/>
        </w:rPr>
        <w:t xml:space="preserve"> herself </w:t>
      </w:r>
      <w:r w:rsidRPr="00B9637B">
        <w:rPr>
          <w:rFonts w:ascii="Arial" w:hAnsi="Arial" w:cs="Arial"/>
          <w:sz w:val="24"/>
          <w:szCs w:val="24"/>
          <w:lang w:val="en-US"/>
        </w:rPr>
        <w:t xml:space="preserve">as the </w:t>
      </w:r>
      <w:r w:rsidR="00AF28BA" w:rsidRPr="00B9637B">
        <w:rPr>
          <w:rFonts w:ascii="Arial" w:hAnsi="Arial" w:cs="Arial"/>
          <w:sz w:val="24"/>
          <w:szCs w:val="24"/>
          <w:lang w:val="en-US"/>
        </w:rPr>
        <w:t>national c</w:t>
      </w:r>
      <w:r w:rsidRPr="00B9637B">
        <w:rPr>
          <w:rFonts w:ascii="Arial" w:hAnsi="Arial" w:cs="Arial"/>
          <w:sz w:val="24"/>
          <w:szCs w:val="24"/>
          <w:lang w:val="en-US"/>
        </w:rPr>
        <w:t xml:space="preserve">hairperson, </w:t>
      </w:r>
      <w:r w:rsidR="00AF28BA" w:rsidRPr="00B9637B">
        <w:rPr>
          <w:rFonts w:ascii="Arial" w:hAnsi="Arial" w:cs="Arial"/>
          <w:sz w:val="24"/>
          <w:szCs w:val="24"/>
          <w:lang w:val="en-US"/>
        </w:rPr>
        <w:t>the v</w:t>
      </w:r>
      <w:r w:rsidRPr="00B9637B">
        <w:rPr>
          <w:rFonts w:ascii="Arial" w:hAnsi="Arial" w:cs="Arial"/>
          <w:sz w:val="24"/>
          <w:szCs w:val="24"/>
          <w:lang w:val="en-US"/>
        </w:rPr>
        <w:t>ic</w:t>
      </w:r>
      <w:r w:rsidR="00AF28BA" w:rsidRPr="00B9637B">
        <w:rPr>
          <w:rFonts w:ascii="Arial" w:hAnsi="Arial" w:cs="Arial"/>
          <w:sz w:val="24"/>
          <w:szCs w:val="24"/>
          <w:lang w:val="en-US"/>
        </w:rPr>
        <w:t>e p</w:t>
      </w:r>
      <w:r w:rsidR="0060566B" w:rsidRPr="00B9637B">
        <w:rPr>
          <w:rFonts w:ascii="Arial" w:hAnsi="Arial" w:cs="Arial"/>
          <w:sz w:val="24"/>
          <w:szCs w:val="24"/>
          <w:lang w:val="en-US"/>
        </w:rPr>
        <w:t>resident and the administrative s</w:t>
      </w:r>
      <w:r w:rsidRPr="00B9637B">
        <w:rPr>
          <w:rFonts w:ascii="Arial" w:hAnsi="Arial" w:cs="Arial"/>
          <w:sz w:val="24"/>
          <w:szCs w:val="24"/>
          <w:lang w:val="en-US"/>
        </w:rPr>
        <w:t>ecretary</w:t>
      </w:r>
      <w:r w:rsidR="00E622D3" w:rsidRPr="00B9637B">
        <w:rPr>
          <w:rFonts w:ascii="Arial" w:hAnsi="Arial" w:cs="Arial"/>
          <w:sz w:val="24"/>
          <w:szCs w:val="24"/>
          <w:lang w:val="en-US"/>
        </w:rPr>
        <w:t xml:space="preserve">. Also </w:t>
      </w:r>
      <w:r w:rsidR="0060566B" w:rsidRPr="00B9637B">
        <w:rPr>
          <w:rFonts w:ascii="Arial" w:hAnsi="Arial" w:cs="Arial"/>
          <w:sz w:val="24"/>
          <w:szCs w:val="24"/>
          <w:lang w:val="en-US"/>
        </w:rPr>
        <w:t>in</w:t>
      </w:r>
      <w:r w:rsidR="00E622D3" w:rsidRPr="00B9637B">
        <w:rPr>
          <w:rFonts w:ascii="Arial" w:hAnsi="Arial" w:cs="Arial"/>
          <w:sz w:val="24"/>
          <w:szCs w:val="24"/>
          <w:lang w:val="en-US"/>
        </w:rPr>
        <w:t xml:space="preserve"> attendance were members of the regional structure of the DTA including </w:t>
      </w:r>
      <w:r w:rsidR="00AF28BA" w:rsidRPr="00B9637B">
        <w:rPr>
          <w:rFonts w:ascii="Arial" w:hAnsi="Arial" w:cs="Arial"/>
          <w:sz w:val="24"/>
          <w:szCs w:val="24"/>
          <w:lang w:val="en-US"/>
        </w:rPr>
        <w:t>Mr</w:t>
      </w:r>
      <w:r w:rsidR="00E622D3" w:rsidRPr="00B9637B">
        <w:rPr>
          <w:rFonts w:ascii="Arial" w:hAnsi="Arial" w:cs="Arial"/>
          <w:sz w:val="24"/>
          <w:szCs w:val="24"/>
          <w:lang w:val="en-US"/>
        </w:rPr>
        <w:t xml:space="preserve"> </w:t>
      </w:r>
      <w:r w:rsidR="00E13155" w:rsidRPr="00B9637B">
        <w:rPr>
          <w:rFonts w:ascii="Arial" w:hAnsi="Arial" w:cs="Arial"/>
          <w:sz w:val="24"/>
          <w:szCs w:val="24"/>
          <w:lang w:val="en-US"/>
        </w:rPr>
        <w:t>Kashera</w:t>
      </w:r>
      <w:r w:rsidR="00E622D3" w:rsidRPr="00B9637B">
        <w:rPr>
          <w:rFonts w:ascii="Arial" w:hAnsi="Arial" w:cs="Arial"/>
          <w:sz w:val="24"/>
          <w:szCs w:val="24"/>
          <w:lang w:val="en-US"/>
        </w:rPr>
        <w:t xml:space="preserve"> and </w:t>
      </w:r>
      <w:r w:rsidR="009E28A5" w:rsidRPr="00B9637B">
        <w:rPr>
          <w:rFonts w:ascii="Arial" w:hAnsi="Arial" w:cs="Arial"/>
          <w:sz w:val="24"/>
          <w:szCs w:val="24"/>
          <w:lang w:val="en-US"/>
        </w:rPr>
        <w:t xml:space="preserve">Mr </w:t>
      </w:r>
      <w:r w:rsidRPr="00B9637B">
        <w:rPr>
          <w:rFonts w:ascii="Arial" w:hAnsi="Arial" w:cs="Arial"/>
          <w:sz w:val="24"/>
          <w:szCs w:val="24"/>
          <w:lang w:val="en-US"/>
        </w:rPr>
        <w:t>Kudumo</w:t>
      </w:r>
      <w:r w:rsidR="00E622D3" w:rsidRPr="00B9637B">
        <w:rPr>
          <w:rFonts w:ascii="Arial" w:hAnsi="Arial" w:cs="Arial"/>
          <w:sz w:val="24"/>
          <w:szCs w:val="24"/>
          <w:lang w:val="en-US"/>
        </w:rPr>
        <w:t>. The latter were instrumental in the purported of sale of the disputed land to River View.</w:t>
      </w:r>
    </w:p>
    <w:p w14:paraId="5A557854" w14:textId="77777777" w:rsidR="00D270BF" w:rsidRPr="00B9637B" w:rsidRDefault="00D270BF" w:rsidP="00F355DB">
      <w:pPr>
        <w:pStyle w:val="ListParagraph"/>
        <w:spacing w:line="480" w:lineRule="auto"/>
        <w:ind w:left="0"/>
        <w:jc w:val="both"/>
        <w:rPr>
          <w:rFonts w:ascii="Arial" w:hAnsi="Arial" w:cs="Arial"/>
          <w:lang w:val="en-US"/>
        </w:rPr>
      </w:pPr>
    </w:p>
    <w:p w14:paraId="2CD34D8F" w14:textId="3C58472A" w:rsidR="00A75E87" w:rsidRPr="00B9637B" w:rsidRDefault="00D270BF" w:rsidP="00B9637B">
      <w:pPr>
        <w:pStyle w:val="NoSpacing"/>
        <w:numPr>
          <w:ilvl w:val="0"/>
          <w:numId w:val="7"/>
        </w:numPr>
        <w:spacing w:line="480" w:lineRule="auto"/>
        <w:ind w:left="0" w:firstLine="0"/>
        <w:jc w:val="both"/>
        <w:rPr>
          <w:rFonts w:ascii="Arial" w:hAnsi="Arial" w:cs="Arial"/>
          <w:sz w:val="24"/>
          <w:szCs w:val="24"/>
          <w:lang w:val="en-US"/>
        </w:rPr>
      </w:pPr>
      <w:r w:rsidRPr="00B9637B">
        <w:rPr>
          <w:rFonts w:ascii="Arial" w:hAnsi="Arial" w:cs="Arial"/>
          <w:sz w:val="24"/>
          <w:szCs w:val="24"/>
          <w:lang w:val="en-US"/>
        </w:rPr>
        <w:t xml:space="preserve">According to the witness, at the meeting she established that the disputed land was purchased by DTA from RTC on 9 August 2013 </w:t>
      </w:r>
      <w:r w:rsidR="00D46C4C" w:rsidRPr="00B9637B">
        <w:rPr>
          <w:rFonts w:ascii="Arial" w:hAnsi="Arial" w:cs="Arial"/>
          <w:sz w:val="24"/>
          <w:szCs w:val="24"/>
          <w:lang w:val="en-US"/>
        </w:rPr>
        <w:t>where after</w:t>
      </w:r>
      <w:r w:rsidRPr="00B9637B">
        <w:rPr>
          <w:rFonts w:ascii="Arial" w:hAnsi="Arial" w:cs="Arial"/>
          <w:sz w:val="24"/>
          <w:szCs w:val="24"/>
          <w:lang w:val="en-US"/>
        </w:rPr>
        <w:t xml:space="preserve"> it was sold to River View without the knowledge of the ‘regional structure’ of </w:t>
      </w:r>
      <w:r w:rsidR="00AF28BA" w:rsidRPr="00B9637B">
        <w:rPr>
          <w:rFonts w:ascii="Arial" w:hAnsi="Arial" w:cs="Arial"/>
          <w:sz w:val="24"/>
          <w:szCs w:val="24"/>
          <w:lang w:val="en-US"/>
        </w:rPr>
        <w:t xml:space="preserve">the </w:t>
      </w:r>
      <w:r w:rsidRPr="00B9637B">
        <w:rPr>
          <w:rFonts w:ascii="Arial" w:hAnsi="Arial" w:cs="Arial"/>
          <w:sz w:val="24"/>
          <w:szCs w:val="24"/>
          <w:lang w:val="en-US"/>
        </w:rPr>
        <w:t xml:space="preserve">DTA. The witness further </w:t>
      </w:r>
      <w:r w:rsidR="00B06198" w:rsidRPr="00B9637B">
        <w:rPr>
          <w:rFonts w:ascii="Arial" w:hAnsi="Arial" w:cs="Arial"/>
          <w:sz w:val="24"/>
          <w:szCs w:val="24"/>
          <w:lang w:val="en-US"/>
        </w:rPr>
        <w:t xml:space="preserve">testified </w:t>
      </w:r>
      <w:r w:rsidR="00711DCC">
        <w:rPr>
          <w:rFonts w:ascii="Arial" w:hAnsi="Arial" w:cs="Arial"/>
          <w:sz w:val="24"/>
          <w:szCs w:val="24"/>
          <w:lang w:val="en-US"/>
        </w:rPr>
        <w:t xml:space="preserve">in respect of </w:t>
      </w:r>
      <w:r w:rsidRPr="00B9637B">
        <w:rPr>
          <w:rFonts w:ascii="Arial" w:hAnsi="Arial" w:cs="Arial"/>
          <w:sz w:val="24"/>
          <w:szCs w:val="24"/>
          <w:lang w:val="en-US"/>
        </w:rPr>
        <w:t xml:space="preserve">the </w:t>
      </w:r>
      <w:r w:rsidR="00B06198" w:rsidRPr="00B9637B">
        <w:rPr>
          <w:rFonts w:ascii="Arial" w:hAnsi="Arial" w:cs="Arial"/>
          <w:sz w:val="24"/>
          <w:szCs w:val="24"/>
          <w:lang w:val="en-US"/>
        </w:rPr>
        <w:t>‘</w:t>
      </w:r>
      <w:r w:rsidRPr="00B9637B">
        <w:rPr>
          <w:rFonts w:ascii="Arial" w:hAnsi="Arial" w:cs="Arial"/>
          <w:sz w:val="24"/>
          <w:szCs w:val="24"/>
          <w:lang w:val="en-US"/>
        </w:rPr>
        <w:t>bank book</w:t>
      </w:r>
      <w:r w:rsidR="00B06198" w:rsidRPr="00B9637B">
        <w:rPr>
          <w:rFonts w:ascii="Arial" w:hAnsi="Arial" w:cs="Arial"/>
          <w:sz w:val="24"/>
          <w:szCs w:val="24"/>
          <w:lang w:val="en-US"/>
        </w:rPr>
        <w:t>’</w:t>
      </w:r>
      <w:r w:rsidRPr="00B9637B">
        <w:rPr>
          <w:rFonts w:ascii="Arial" w:hAnsi="Arial" w:cs="Arial"/>
          <w:sz w:val="24"/>
          <w:szCs w:val="24"/>
          <w:lang w:val="en-US"/>
        </w:rPr>
        <w:t xml:space="preserve"> for the DTA Youth League account which partly reflected how the money in the account was used. She recounted that her investigation revealed the follo</w:t>
      </w:r>
      <w:r w:rsidR="00FC651C">
        <w:rPr>
          <w:rFonts w:ascii="Arial" w:hAnsi="Arial" w:cs="Arial"/>
          <w:sz w:val="24"/>
          <w:szCs w:val="24"/>
          <w:lang w:val="en-US"/>
        </w:rPr>
        <w:t>wing transactions on the Youth L</w:t>
      </w:r>
      <w:r w:rsidRPr="00B9637B">
        <w:rPr>
          <w:rFonts w:ascii="Arial" w:hAnsi="Arial" w:cs="Arial"/>
          <w:sz w:val="24"/>
          <w:szCs w:val="24"/>
          <w:lang w:val="en-US"/>
        </w:rPr>
        <w:t xml:space="preserve">eague account: on 14 October 2014, N$140 000 was </w:t>
      </w:r>
      <w:r w:rsidR="00FC651C">
        <w:rPr>
          <w:rFonts w:ascii="Arial" w:hAnsi="Arial" w:cs="Arial"/>
          <w:sz w:val="24"/>
          <w:szCs w:val="24"/>
          <w:lang w:val="en-US"/>
        </w:rPr>
        <w:t xml:space="preserve">paid into the bank account; on </w:t>
      </w:r>
      <w:r w:rsidRPr="00B9637B">
        <w:rPr>
          <w:rFonts w:ascii="Arial" w:hAnsi="Arial" w:cs="Arial"/>
          <w:sz w:val="24"/>
          <w:szCs w:val="24"/>
          <w:lang w:val="en-US"/>
        </w:rPr>
        <w:t>4 November 2014,</w:t>
      </w:r>
      <w:r w:rsidR="00EE3B58" w:rsidRPr="00B9637B">
        <w:rPr>
          <w:rFonts w:ascii="Arial" w:hAnsi="Arial" w:cs="Arial"/>
          <w:sz w:val="24"/>
          <w:szCs w:val="24"/>
          <w:lang w:val="en-US"/>
        </w:rPr>
        <w:t xml:space="preserve"> N$5000</w:t>
      </w:r>
      <w:r w:rsidRPr="00B9637B">
        <w:rPr>
          <w:rFonts w:ascii="Arial" w:hAnsi="Arial" w:cs="Arial"/>
          <w:sz w:val="24"/>
          <w:szCs w:val="24"/>
          <w:lang w:val="en-US"/>
        </w:rPr>
        <w:t xml:space="preserve"> was withdrawn; on 10 November 2014, N$10 000 was withdrawn; on 14 November 2014, </w:t>
      </w:r>
      <w:r w:rsidR="00853F96" w:rsidRPr="00B9637B">
        <w:rPr>
          <w:rFonts w:ascii="Arial" w:hAnsi="Arial" w:cs="Arial"/>
          <w:sz w:val="24"/>
          <w:szCs w:val="24"/>
          <w:lang w:val="en-US"/>
        </w:rPr>
        <w:t>N$15</w:t>
      </w:r>
      <w:r w:rsidR="00EE3B58" w:rsidRPr="00B9637B">
        <w:rPr>
          <w:rFonts w:ascii="Arial" w:hAnsi="Arial" w:cs="Arial"/>
          <w:sz w:val="24"/>
          <w:szCs w:val="24"/>
          <w:lang w:val="en-US"/>
        </w:rPr>
        <w:t xml:space="preserve"> 000 and another N$11 000 was deposited by</w:t>
      </w:r>
      <w:r w:rsidRPr="00B9637B">
        <w:rPr>
          <w:rFonts w:ascii="Arial" w:hAnsi="Arial" w:cs="Arial"/>
          <w:sz w:val="24"/>
          <w:szCs w:val="24"/>
          <w:lang w:val="en-US"/>
        </w:rPr>
        <w:t xml:space="preserve"> the head office; on 16 November 2014, </w:t>
      </w:r>
      <w:r w:rsidR="007A3A2C">
        <w:rPr>
          <w:rFonts w:ascii="Arial" w:hAnsi="Arial" w:cs="Arial"/>
          <w:sz w:val="24"/>
          <w:szCs w:val="24"/>
          <w:lang w:val="en-US"/>
        </w:rPr>
        <w:t>N$</w:t>
      </w:r>
      <w:r w:rsidR="00EE3B58" w:rsidRPr="00B9637B">
        <w:rPr>
          <w:rFonts w:ascii="Arial" w:hAnsi="Arial" w:cs="Arial"/>
          <w:sz w:val="24"/>
          <w:szCs w:val="24"/>
          <w:lang w:val="en-US"/>
        </w:rPr>
        <w:t>16 000</w:t>
      </w:r>
      <w:r w:rsidRPr="00B9637B">
        <w:rPr>
          <w:rFonts w:ascii="Arial" w:hAnsi="Arial" w:cs="Arial"/>
          <w:sz w:val="24"/>
          <w:szCs w:val="24"/>
          <w:lang w:val="en-US"/>
        </w:rPr>
        <w:t xml:space="preserve"> an</w:t>
      </w:r>
      <w:r w:rsidR="00FC651C">
        <w:rPr>
          <w:rFonts w:ascii="Arial" w:hAnsi="Arial" w:cs="Arial"/>
          <w:sz w:val="24"/>
          <w:szCs w:val="24"/>
          <w:lang w:val="en-US"/>
        </w:rPr>
        <w:t>d an</w:t>
      </w:r>
      <w:r w:rsidRPr="00B9637B">
        <w:rPr>
          <w:rFonts w:ascii="Arial" w:hAnsi="Arial" w:cs="Arial"/>
          <w:sz w:val="24"/>
          <w:szCs w:val="24"/>
          <w:lang w:val="en-US"/>
        </w:rPr>
        <w:t xml:space="preserve"> additional N$6</w:t>
      </w:r>
      <w:r w:rsidR="00EE3B58" w:rsidRPr="00B9637B">
        <w:rPr>
          <w:rFonts w:ascii="Arial" w:hAnsi="Arial" w:cs="Arial"/>
          <w:sz w:val="24"/>
          <w:szCs w:val="24"/>
          <w:lang w:val="en-US"/>
        </w:rPr>
        <w:t>500</w:t>
      </w:r>
      <w:r w:rsidR="007E16E4">
        <w:rPr>
          <w:rFonts w:ascii="Arial" w:hAnsi="Arial" w:cs="Arial"/>
          <w:sz w:val="24"/>
          <w:szCs w:val="24"/>
          <w:lang w:val="en-US"/>
        </w:rPr>
        <w:t xml:space="preserve"> was withdrawn.</w:t>
      </w:r>
    </w:p>
    <w:p w14:paraId="2D296DC3" w14:textId="77777777" w:rsidR="00A75E87" w:rsidRDefault="00A75E87" w:rsidP="00F355DB">
      <w:pPr>
        <w:pStyle w:val="ListParagraph"/>
        <w:spacing w:line="480" w:lineRule="auto"/>
        <w:ind w:left="0"/>
        <w:jc w:val="both"/>
        <w:rPr>
          <w:rFonts w:ascii="Arial" w:hAnsi="Arial" w:cs="Arial"/>
          <w:lang w:val="en-US"/>
        </w:rPr>
      </w:pPr>
    </w:p>
    <w:p w14:paraId="751D4DA9" w14:textId="094904F0" w:rsidR="00D270BF" w:rsidRPr="00160333" w:rsidRDefault="00D270BF"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On 25 November 2014,</w:t>
      </w:r>
      <w:r w:rsidR="00853F96" w:rsidRPr="00160333">
        <w:rPr>
          <w:rFonts w:ascii="Arial" w:hAnsi="Arial" w:cs="Arial"/>
          <w:sz w:val="24"/>
          <w:szCs w:val="24"/>
          <w:lang w:val="en-US"/>
        </w:rPr>
        <w:t xml:space="preserve"> N$18</w:t>
      </w:r>
      <w:r w:rsidRPr="00160333">
        <w:rPr>
          <w:rFonts w:ascii="Arial" w:hAnsi="Arial" w:cs="Arial"/>
          <w:sz w:val="24"/>
          <w:szCs w:val="24"/>
          <w:lang w:val="en-US"/>
        </w:rPr>
        <w:t xml:space="preserve"> 000 was withdrawn and on 27 November 2014, N$5</w:t>
      </w:r>
      <w:r w:rsidR="00EE3B58" w:rsidRPr="00160333">
        <w:rPr>
          <w:rFonts w:ascii="Arial" w:hAnsi="Arial" w:cs="Arial"/>
          <w:sz w:val="24"/>
          <w:szCs w:val="24"/>
          <w:lang w:val="en-US"/>
        </w:rPr>
        <w:t>000</w:t>
      </w:r>
      <w:r w:rsidRPr="00160333">
        <w:rPr>
          <w:rFonts w:ascii="Arial" w:hAnsi="Arial" w:cs="Arial"/>
          <w:sz w:val="24"/>
          <w:szCs w:val="24"/>
          <w:lang w:val="en-US"/>
        </w:rPr>
        <w:t xml:space="preserve"> was deposited </w:t>
      </w:r>
      <w:r w:rsidR="00EE3B58" w:rsidRPr="00160333">
        <w:rPr>
          <w:rFonts w:ascii="Arial" w:hAnsi="Arial" w:cs="Arial"/>
          <w:sz w:val="24"/>
          <w:szCs w:val="24"/>
          <w:lang w:val="en-US"/>
        </w:rPr>
        <w:t>by</w:t>
      </w:r>
      <w:r w:rsidRPr="00160333">
        <w:rPr>
          <w:rFonts w:ascii="Arial" w:hAnsi="Arial" w:cs="Arial"/>
          <w:sz w:val="24"/>
          <w:szCs w:val="24"/>
          <w:lang w:val="en-US"/>
        </w:rPr>
        <w:t xml:space="preserve"> the head office and an additional of N$8</w:t>
      </w:r>
      <w:r w:rsidR="00EE3B58" w:rsidRPr="00160333">
        <w:rPr>
          <w:rFonts w:ascii="Arial" w:hAnsi="Arial" w:cs="Arial"/>
          <w:sz w:val="24"/>
          <w:szCs w:val="24"/>
          <w:lang w:val="en-US"/>
        </w:rPr>
        <w:t>000</w:t>
      </w:r>
      <w:r w:rsidR="00FC651C">
        <w:rPr>
          <w:rFonts w:ascii="Arial" w:hAnsi="Arial" w:cs="Arial"/>
          <w:sz w:val="24"/>
          <w:szCs w:val="24"/>
          <w:lang w:val="en-US"/>
        </w:rPr>
        <w:t xml:space="preserve"> was withdrawn; on </w:t>
      </w:r>
      <w:r w:rsidRPr="00160333">
        <w:rPr>
          <w:rFonts w:ascii="Arial" w:hAnsi="Arial" w:cs="Arial"/>
          <w:sz w:val="24"/>
          <w:szCs w:val="24"/>
          <w:lang w:val="en-US"/>
        </w:rPr>
        <w:t>2 December 2014, N$2</w:t>
      </w:r>
      <w:r w:rsidR="00EE3B58" w:rsidRPr="00160333">
        <w:rPr>
          <w:rFonts w:ascii="Arial" w:hAnsi="Arial" w:cs="Arial"/>
          <w:sz w:val="24"/>
          <w:szCs w:val="24"/>
          <w:lang w:val="en-US"/>
        </w:rPr>
        <w:t>400</w:t>
      </w:r>
      <w:r w:rsidRPr="00160333">
        <w:rPr>
          <w:rFonts w:ascii="Arial" w:hAnsi="Arial" w:cs="Arial"/>
          <w:sz w:val="24"/>
          <w:szCs w:val="24"/>
          <w:lang w:val="en-US"/>
        </w:rPr>
        <w:t xml:space="preserve"> was withdrawn; on 8 December 2014, N$1</w:t>
      </w:r>
      <w:r w:rsidR="00EE3B58" w:rsidRPr="00160333">
        <w:rPr>
          <w:rFonts w:ascii="Arial" w:hAnsi="Arial" w:cs="Arial"/>
          <w:sz w:val="24"/>
          <w:szCs w:val="24"/>
          <w:lang w:val="en-US"/>
        </w:rPr>
        <w:t>366</w:t>
      </w:r>
      <w:r w:rsidR="00FC651C">
        <w:rPr>
          <w:rFonts w:ascii="Arial" w:hAnsi="Arial" w:cs="Arial"/>
          <w:sz w:val="24"/>
          <w:szCs w:val="24"/>
          <w:lang w:val="en-US"/>
        </w:rPr>
        <w:t>, and N$347</w:t>
      </w:r>
      <w:r w:rsidR="00FF3C93">
        <w:rPr>
          <w:rFonts w:ascii="Arial" w:hAnsi="Arial" w:cs="Arial"/>
          <w:sz w:val="24"/>
          <w:szCs w:val="24"/>
          <w:lang w:val="en-US"/>
        </w:rPr>
        <w:t>,</w:t>
      </w:r>
      <w:r w:rsidR="00FF3C93" w:rsidRPr="00160333">
        <w:rPr>
          <w:rFonts w:ascii="Arial" w:hAnsi="Arial" w:cs="Arial"/>
          <w:sz w:val="24"/>
          <w:szCs w:val="24"/>
          <w:lang w:val="en-US"/>
        </w:rPr>
        <w:t>13</w:t>
      </w:r>
      <w:r w:rsidRPr="00160333">
        <w:rPr>
          <w:rFonts w:ascii="Arial" w:hAnsi="Arial" w:cs="Arial"/>
          <w:sz w:val="24"/>
          <w:szCs w:val="24"/>
          <w:lang w:val="en-US"/>
        </w:rPr>
        <w:t xml:space="preserve"> </w:t>
      </w:r>
      <w:r w:rsidR="00711DCC">
        <w:rPr>
          <w:rFonts w:ascii="Arial" w:hAnsi="Arial" w:cs="Arial"/>
          <w:sz w:val="24"/>
          <w:szCs w:val="24"/>
          <w:lang w:val="en-US"/>
        </w:rPr>
        <w:t>reflected as</w:t>
      </w:r>
      <w:r w:rsidRPr="00160333">
        <w:rPr>
          <w:rFonts w:ascii="Arial" w:hAnsi="Arial" w:cs="Arial"/>
          <w:sz w:val="24"/>
          <w:szCs w:val="24"/>
          <w:lang w:val="en-US"/>
        </w:rPr>
        <w:t xml:space="preserve"> bank c</w:t>
      </w:r>
      <w:r w:rsidR="00EE3B58" w:rsidRPr="00160333">
        <w:rPr>
          <w:rFonts w:ascii="Arial" w:hAnsi="Arial" w:cs="Arial"/>
          <w:sz w:val="24"/>
          <w:szCs w:val="24"/>
          <w:lang w:val="en-US"/>
        </w:rPr>
        <w:t>harges and an additional N$18</w:t>
      </w:r>
      <w:r w:rsidRPr="00160333">
        <w:rPr>
          <w:rFonts w:ascii="Arial" w:hAnsi="Arial" w:cs="Arial"/>
          <w:sz w:val="24"/>
          <w:szCs w:val="24"/>
          <w:lang w:val="en-US"/>
        </w:rPr>
        <w:t xml:space="preserve"> </w:t>
      </w:r>
      <w:r w:rsidR="00711DCC">
        <w:rPr>
          <w:rFonts w:ascii="Arial" w:hAnsi="Arial" w:cs="Arial"/>
          <w:sz w:val="24"/>
          <w:szCs w:val="24"/>
          <w:lang w:val="en-US"/>
        </w:rPr>
        <w:t xml:space="preserve">as </w:t>
      </w:r>
      <w:r w:rsidRPr="00160333">
        <w:rPr>
          <w:rFonts w:ascii="Arial" w:hAnsi="Arial" w:cs="Arial"/>
          <w:sz w:val="24"/>
          <w:szCs w:val="24"/>
          <w:lang w:val="en-US"/>
        </w:rPr>
        <w:t>b</w:t>
      </w:r>
      <w:r w:rsidR="00853F96" w:rsidRPr="00160333">
        <w:rPr>
          <w:rFonts w:ascii="Arial" w:hAnsi="Arial" w:cs="Arial"/>
          <w:sz w:val="24"/>
          <w:szCs w:val="24"/>
          <w:lang w:val="en-US"/>
        </w:rPr>
        <w:t xml:space="preserve">ank charges. On 24 </w:t>
      </w:r>
      <w:r w:rsidR="00853F96" w:rsidRPr="00160333">
        <w:rPr>
          <w:rFonts w:ascii="Arial" w:hAnsi="Arial" w:cs="Arial"/>
          <w:sz w:val="24"/>
          <w:szCs w:val="24"/>
          <w:lang w:val="en-US"/>
        </w:rPr>
        <w:lastRenderedPageBreak/>
        <w:t>January 2014,</w:t>
      </w:r>
      <w:r w:rsidR="00EE3B58" w:rsidRPr="00160333">
        <w:rPr>
          <w:rFonts w:ascii="Arial" w:hAnsi="Arial" w:cs="Arial"/>
          <w:sz w:val="24"/>
          <w:szCs w:val="24"/>
          <w:lang w:val="en-US"/>
        </w:rPr>
        <w:t xml:space="preserve"> N$16 500</w:t>
      </w:r>
      <w:r w:rsidRPr="00160333">
        <w:rPr>
          <w:rFonts w:ascii="Arial" w:hAnsi="Arial" w:cs="Arial"/>
          <w:sz w:val="24"/>
          <w:szCs w:val="24"/>
          <w:lang w:val="en-US"/>
        </w:rPr>
        <w:t xml:space="preserve"> was wi</w:t>
      </w:r>
      <w:r w:rsidR="00853F96" w:rsidRPr="00160333">
        <w:rPr>
          <w:rFonts w:ascii="Arial" w:hAnsi="Arial" w:cs="Arial"/>
          <w:sz w:val="24"/>
          <w:szCs w:val="24"/>
          <w:lang w:val="en-US"/>
        </w:rPr>
        <w:t xml:space="preserve">thdrawn and on 7 February 2015, </w:t>
      </w:r>
      <w:r w:rsidRPr="00160333">
        <w:rPr>
          <w:rFonts w:ascii="Arial" w:hAnsi="Arial" w:cs="Arial"/>
          <w:sz w:val="24"/>
          <w:szCs w:val="24"/>
          <w:lang w:val="en-US"/>
        </w:rPr>
        <w:t>N$297</w:t>
      </w:r>
      <w:r w:rsidR="00FC651C">
        <w:rPr>
          <w:rFonts w:ascii="Arial" w:hAnsi="Arial" w:cs="Arial"/>
          <w:sz w:val="24"/>
          <w:szCs w:val="24"/>
          <w:lang w:val="en-US"/>
        </w:rPr>
        <w:t>,</w:t>
      </w:r>
      <w:r w:rsidR="00FF3C93">
        <w:rPr>
          <w:rFonts w:ascii="Arial" w:hAnsi="Arial" w:cs="Arial"/>
          <w:sz w:val="24"/>
          <w:szCs w:val="24"/>
          <w:lang w:val="en-US"/>
        </w:rPr>
        <w:t>1</w:t>
      </w:r>
      <w:r w:rsidRPr="00160333">
        <w:rPr>
          <w:rFonts w:ascii="Arial" w:hAnsi="Arial" w:cs="Arial"/>
          <w:sz w:val="24"/>
          <w:szCs w:val="24"/>
          <w:lang w:val="en-US"/>
        </w:rPr>
        <w:t xml:space="preserve">0 </w:t>
      </w:r>
      <w:r w:rsidR="00711DCC">
        <w:rPr>
          <w:rFonts w:ascii="Arial" w:hAnsi="Arial" w:cs="Arial"/>
          <w:sz w:val="24"/>
          <w:szCs w:val="24"/>
          <w:lang w:val="en-US"/>
        </w:rPr>
        <w:t xml:space="preserve">reflected as </w:t>
      </w:r>
      <w:r w:rsidRPr="00160333">
        <w:rPr>
          <w:rFonts w:ascii="Arial" w:hAnsi="Arial" w:cs="Arial"/>
          <w:sz w:val="24"/>
          <w:szCs w:val="24"/>
          <w:lang w:val="en-US"/>
        </w:rPr>
        <w:t>bank charges and lastly on 11 Februar</w:t>
      </w:r>
      <w:r w:rsidR="00EE3B58" w:rsidRPr="00160333">
        <w:rPr>
          <w:rFonts w:ascii="Arial" w:hAnsi="Arial" w:cs="Arial"/>
          <w:sz w:val="24"/>
          <w:szCs w:val="24"/>
          <w:lang w:val="en-US"/>
        </w:rPr>
        <w:t>y 2015 and amount of N$50 000</w:t>
      </w:r>
      <w:r w:rsidR="00A75E87" w:rsidRPr="00160333">
        <w:rPr>
          <w:rFonts w:ascii="Arial" w:hAnsi="Arial" w:cs="Arial"/>
          <w:sz w:val="24"/>
          <w:szCs w:val="24"/>
          <w:lang w:val="en-US"/>
        </w:rPr>
        <w:t xml:space="preserve"> was </w:t>
      </w:r>
      <w:r w:rsidRPr="00160333">
        <w:rPr>
          <w:rFonts w:ascii="Arial" w:hAnsi="Arial" w:cs="Arial"/>
          <w:sz w:val="24"/>
          <w:szCs w:val="24"/>
          <w:lang w:val="en-US"/>
        </w:rPr>
        <w:t xml:space="preserve">withdrawn. The balance in the </w:t>
      </w:r>
      <w:r w:rsidR="00FC651C">
        <w:rPr>
          <w:rFonts w:ascii="Arial" w:hAnsi="Arial" w:cs="Arial"/>
          <w:sz w:val="24"/>
          <w:szCs w:val="24"/>
          <w:lang w:val="en-US"/>
        </w:rPr>
        <w:t>account was said to be N$10 971,</w:t>
      </w:r>
      <w:r w:rsidRPr="00160333">
        <w:rPr>
          <w:rFonts w:ascii="Arial" w:hAnsi="Arial" w:cs="Arial"/>
          <w:sz w:val="24"/>
          <w:szCs w:val="24"/>
          <w:lang w:val="en-US"/>
        </w:rPr>
        <w:t>22.</w:t>
      </w:r>
    </w:p>
    <w:p w14:paraId="6C77319B" w14:textId="77777777" w:rsidR="002A676F" w:rsidRPr="00160333" w:rsidRDefault="002A676F" w:rsidP="00F355DB">
      <w:pPr>
        <w:pStyle w:val="ListParagraph"/>
        <w:spacing w:line="480" w:lineRule="auto"/>
        <w:ind w:left="0"/>
        <w:jc w:val="both"/>
        <w:rPr>
          <w:rFonts w:ascii="Arial" w:hAnsi="Arial" w:cs="Arial"/>
          <w:lang w:val="en-US"/>
        </w:rPr>
      </w:pPr>
    </w:p>
    <w:p w14:paraId="6B321F39" w14:textId="355FA389" w:rsidR="002A676F" w:rsidRPr="00160333" w:rsidRDefault="002A676F"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Thus, all told there were cash withdrawals totaling N$</w:t>
      </w:r>
      <w:r w:rsidR="00A75E87" w:rsidRPr="00160333">
        <w:rPr>
          <w:rFonts w:ascii="Arial" w:hAnsi="Arial" w:cs="Arial"/>
          <w:sz w:val="24"/>
          <w:szCs w:val="24"/>
          <w:lang w:val="en-US"/>
        </w:rPr>
        <w:t>138</w:t>
      </w:r>
      <w:r w:rsidRPr="00160333">
        <w:rPr>
          <w:rFonts w:ascii="Arial" w:hAnsi="Arial" w:cs="Arial"/>
          <w:sz w:val="24"/>
          <w:szCs w:val="24"/>
          <w:lang w:val="en-US"/>
        </w:rPr>
        <w:t xml:space="preserve"> 900</w:t>
      </w:r>
      <w:r w:rsidR="006C1526" w:rsidRPr="00160333">
        <w:rPr>
          <w:rFonts w:ascii="Arial" w:hAnsi="Arial" w:cs="Arial"/>
          <w:sz w:val="24"/>
          <w:szCs w:val="24"/>
          <w:lang w:val="en-US"/>
        </w:rPr>
        <w:t xml:space="preserve"> and</w:t>
      </w:r>
      <w:r w:rsidRPr="00160333">
        <w:rPr>
          <w:rFonts w:ascii="Arial" w:hAnsi="Arial" w:cs="Arial"/>
          <w:sz w:val="24"/>
          <w:szCs w:val="24"/>
          <w:lang w:val="en-US"/>
        </w:rPr>
        <w:t xml:space="preserve"> deposits ‘head office</w:t>
      </w:r>
      <w:r w:rsidR="006C1526" w:rsidRPr="00160333">
        <w:rPr>
          <w:rFonts w:ascii="Arial" w:hAnsi="Arial" w:cs="Arial"/>
          <w:sz w:val="24"/>
          <w:szCs w:val="24"/>
          <w:lang w:val="en-US"/>
        </w:rPr>
        <w:t>’</w:t>
      </w:r>
      <w:r w:rsidR="00A75E87" w:rsidRPr="00160333">
        <w:rPr>
          <w:rFonts w:ascii="Arial" w:hAnsi="Arial" w:cs="Arial"/>
          <w:sz w:val="24"/>
          <w:szCs w:val="24"/>
          <w:lang w:val="en-US"/>
        </w:rPr>
        <w:t xml:space="preserve"> totaling N$30</w:t>
      </w:r>
      <w:r w:rsidR="009E28A5" w:rsidRPr="00160333">
        <w:rPr>
          <w:rFonts w:ascii="Arial" w:hAnsi="Arial" w:cs="Arial"/>
          <w:sz w:val="24"/>
          <w:szCs w:val="24"/>
          <w:lang w:val="en-US"/>
        </w:rPr>
        <w:t> </w:t>
      </w:r>
      <w:r w:rsidRPr="00160333">
        <w:rPr>
          <w:rFonts w:ascii="Arial" w:hAnsi="Arial" w:cs="Arial"/>
          <w:sz w:val="24"/>
          <w:szCs w:val="24"/>
          <w:lang w:val="en-US"/>
        </w:rPr>
        <w:t>000</w:t>
      </w:r>
      <w:r w:rsidR="009E28A5" w:rsidRPr="00160333">
        <w:rPr>
          <w:rFonts w:ascii="Arial" w:hAnsi="Arial" w:cs="Arial"/>
          <w:sz w:val="24"/>
          <w:szCs w:val="24"/>
          <w:lang w:val="en-US"/>
        </w:rPr>
        <w:t xml:space="preserve">. </w:t>
      </w:r>
      <w:r w:rsidRPr="00160333">
        <w:rPr>
          <w:rFonts w:ascii="Arial" w:hAnsi="Arial" w:cs="Arial"/>
          <w:sz w:val="24"/>
          <w:szCs w:val="24"/>
          <w:lang w:val="en-US"/>
        </w:rPr>
        <w:t>The to</w:t>
      </w:r>
      <w:r w:rsidR="00A75E87" w:rsidRPr="00160333">
        <w:rPr>
          <w:rFonts w:ascii="Arial" w:hAnsi="Arial" w:cs="Arial"/>
          <w:sz w:val="24"/>
          <w:szCs w:val="24"/>
          <w:lang w:val="en-US"/>
        </w:rPr>
        <w:t>tal bank charges amounted to N$</w:t>
      </w:r>
      <w:r w:rsidR="00FC651C">
        <w:rPr>
          <w:rFonts w:ascii="Arial" w:hAnsi="Arial" w:cs="Arial"/>
          <w:sz w:val="24"/>
          <w:szCs w:val="24"/>
          <w:lang w:val="en-US"/>
        </w:rPr>
        <w:t>2010,</w:t>
      </w:r>
      <w:r w:rsidRPr="00160333">
        <w:rPr>
          <w:rFonts w:ascii="Arial" w:hAnsi="Arial" w:cs="Arial"/>
          <w:sz w:val="24"/>
          <w:szCs w:val="24"/>
          <w:lang w:val="en-US"/>
        </w:rPr>
        <w:t xml:space="preserve">23 </w:t>
      </w:r>
      <w:r w:rsidR="006C1526" w:rsidRPr="00160333">
        <w:rPr>
          <w:rFonts w:ascii="Arial" w:hAnsi="Arial" w:cs="Arial"/>
          <w:sz w:val="24"/>
          <w:szCs w:val="24"/>
          <w:lang w:val="en-US"/>
        </w:rPr>
        <w:t>leaving</w:t>
      </w:r>
      <w:r w:rsidR="00FC651C">
        <w:rPr>
          <w:rFonts w:ascii="Arial" w:hAnsi="Arial" w:cs="Arial"/>
          <w:sz w:val="24"/>
          <w:szCs w:val="24"/>
          <w:lang w:val="en-US"/>
        </w:rPr>
        <w:t xml:space="preserve"> a cash balance of N$10 971,</w:t>
      </w:r>
      <w:r w:rsidRPr="00160333">
        <w:rPr>
          <w:rFonts w:ascii="Arial" w:hAnsi="Arial" w:cs="Arial"/>
          <w:sz w:val="24"/>
          <w:szCs w:val="24"/>
          <w:lang w:val="en-US"/>
        </w:rPr>
        <w:t>22.</w:t>
      </w:r>
    </w:p>
    <w:p w14:paraId="447AD720" w14:textId="77777777" w:rsidR="00D270BF" w:rsidRPr="00160333" w:rsidRDefault="00D270BF" w:rsidP="00F355DB">
      <w:pPr>
        <w:spacing w:line="480" w:lineRule="auto"/>
        <w:jc w:val="both"/>
        <w:rPr>
          <w:rFonts w:ascii="Arial" w:hAnsi="Arial" w:cs="Arial"/>
          <w:i/>
          <w:iCs/>
          <w:lang w:val="en-US"/>
        </w:rPr>
      </w:pPr>
    </w:p>
    <w:p w14:paraId="379BCA48" w14:textId="7D6C749A" w:rsidR="00D270BF" w:rsidRPr="00160333" w:rsidRDefault="009E28A5" w:rsidP="00F355DB">
      <w:pPr>
        <w:spacing w:line="480" w:lineRule="auto"/>
        <w:jc w:val="both"/>
        <w:rPr>
          <w:rFonts w:ascii="Arial" w:hAnsi="Arial" w:cs="Arial"/>
          <w:i/>
          <w:iCs/>
          <w:lang w:val="en-US"/>
        </w:rPr>
      </w:pPr>
      <w:r w:rsidRPr="00160333">
        <w:rPr>
          <w:rFonts w:ascii="Arial" w:hAnsi="Arial" w:cs="Arial"/>
          <w:i/>
          <w:iCs/>
          <w:lang w:val="en-US"/>
        </w:rPr>
        <w:t>M</w:t>
      </w:r>
      <w:r w:rsidR="007E16E4">
        <w:rPr>
          <w:rFonts w:ascii="Arial" w:hAnsi="Arial" w:cs="Arial"/>
          <w:i/>
          <w:iCs/>
          <w:lang w:val="en-US"/>
        </w:rPr>
        <w:t>r</w:t>
      </w:r>
      <w:r w:rsidRPr="00160333">
        <w:rPr>
          <w:rFonts w:ascii="Arial" w:hAnsi="Arial" w:cs="Arial"/>
          <w:i/>
          <w:iCs/>
          <w:lang w:val="en-US"/>
        </w:rPr>
        <w:t xml:space="preserve"> Justus</w:t>
      </w:r>
      <w:r w:rsidR="002A676F" w:rsidRPr="00160333">
        <w:rPr>
          <w:rFonts w:ascii="Arial" w:hAnsi="Arial" w:cs="Arial"/>
          <w:i/>
          <w:iCs/>
          <w:lang w:val="en-US"/>
        </w:rPr>
        <w:t xml:space="preserve"> </w:t>
      </w:r>
      <w:r w:rsidR="00A75E87" w:rsidRPr="00160333">
        <w:rPr>
          <w:rFonts w:ascii="Arial" w:hAnsi="Arial" w:cs="Arial"/>
          <w:i/>
          <w:iCs/>
          <w:lang w:val="en-US"/>
        </w:rPr>
        <w:t>Hausiku</w:t>
      </w:r>
    </w:p>
    <w:p w14:paraId="7A9207DD" w14:textId="624FBD53" w:rsidR="000D66F5" w:rsidRPr="00160333" w:rsidRDefault="00D270BF"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 xml:space="preserve">According to River View’s Mr Hausiku </w:t>
      </w:r>
      <w:r w:rsidR="00F903FD">
        <w:rPr>
          <w:rFonts w:ascii="Arial" w:hAnsi="Arial" w:cs="Arial"/>
          <w:sz w:val="24"/>
          <w:szCs w:val="24"/>
          <w:lang w:val="en-US"/>
        </w:rPr>
        <w:t xml:space="preserve">sometime in 2012 </w:t>
      </w:r>
      <w:r w:rsidRPr="00160333">
        <w:rPr>
          <w:rFonts w:ascii="Arial" w:hAnsi="Arial" w:cs="Arial"/>
          <w:sz w:val="24"/>
          <w:szCs w:val="24"/>
          <w:lang w:val="en-US"/>
        </w:rPr>
        <w:t xml:space="preserve">he had made an offer to </w:t>
      </w:r>
      <w:r w:rsidR="0017042F" w:rsidRPr="00160333">
        <w:rPr>
          <w:rFonts w:ascii="Arial" w:hAnsi="Arial" w:cs="Arial"/>
          <w:sz w:val="24"/>
          <w:szCs w:val="24"/>
          <w:lang w:val="en-US"/>
        </w:rPr>
        <w:t xml:space="preserve">a certain </w:t>
      </w:r>
      <w:r w:rsidR="002A676F" w:rsidRPr="00160333">
        <w:rPr>
          <w:rFonts w:ascii="Arial" w:hAnsi="Arial" w:cs="Arial"/>
          <w:sz w:val="24"/>
          <w:szCs w:val="24"/>
          <w:lang w:val="en-US"/>
        </w:rPr>
        <w:t xml:space="preserve">Mr </w:t>
      </w:r>
      <w:r w:rsidRPr="00160333">
        <w:rPr>
          <w:rFonts w:ascii="Arial" w:hAnsi="Arial" w:cs="Arial"/>
          <w:sz w:val="24"/>
          <w:szCs w:val="24"/>
          <w:lang w:val="en-US"/>
        </w:rPr>
        <w:t xml:space="preserve">Vincent </w:t>
      </w:r>
      <w:r w:rsidR="0017042F" w:rsidRPr="00160333">
        <w:rPr>
          <w:rFonts w:ascii="Arial" w:hAnsi="Arial" w:cs="Arial"/>
          <w:sz w:val="24"/>
          <w:szCs w:val="24"/>
          <w:lang w:val="en-US"/>
        </w:rPr>
        <w:t>Kanyetu</w:t>
      </w:r>
      <w:r w:rsidRPr="00160333">
        <w:rPr>
          <w:rFonts w:ascii="Arial" w:hAnsi="Arial" w:cs="Arial"/>
          <w:sz w:val="24"/>
          <w:szCs w:val="24"/>
          <w:lang w:val="en-US"/>
        </w:rPr>
        <w:t xml:space="preserve"> of the DTA to purchase the disputed land </w:t>
      </w:r>
      <w:r w:rsidR="002A676F" w:rsidRPr="00160333">
        <w:rPr>
          <w:rFonts w:ascii="Arial" w:hAnsi="Arial" w:cs="Arial"/>
          <w:sz w:val="24"/>
          <w:szCs w:val="24"/>
          <w:lang w:val="en-US"/>
        </w:rPr>
        <w:t xml:space="preserve">which is </w:t>
      </w:r>
      <w:r w:rsidRPr="00160333">
        <w:rPr>
          <w:rFonts w:ascii="Arial" w:hAnsi="Arial" w:cs="Arial"/>
          <w:sz w:val="24"/>
          <w:szCs w:val="24"/>
          <w:lang w:val="en-US"/>
        </w:rPr>
        <w:t xml:space="preserve">adjacent to </w:t>
      </w:r>
      <w:r w:rsidR="002A676F" w:rsidRPr="00160333">
        <w:rPr>
          <w:rFonts w:ascii="Arial" w:hAnsi="Arial" w:cs="Arial"/>
          <w:sz w:val="24"/>
          <w:szCs w:val="24"/>
          <w:lang w:val="en-US"/>
        </w:rPr>
        <w:t xml:space="preserve">the land owned by </w:t>
      </w:r>
      <w:r w:rsidRPr="00160333">
        <w:rPr>
          <w:rFonts w:ascii="Arial" w:hAnsi="Arial" w:cs="Arial"/>
          <w:sz w:val="24"/>
          <w:szCs w:val="24"/>
          <w:lang w:val="en-US"/>
        </w:rPr>
        <w:t xml:space="preserve">River View. </w:t>
      </w:r>
      <w:r w:rsidR="002A676F" w:rsidRPr="00160333">
        <w:rPr>
          <w:rFonts w:ascii="Arial" w:hAnsi="Arial" w:cs="Arial"/>
          <w:sz w:val="24"/>
          <w:szCs w:val="24"/>
          <w:lang w:val="en-US"/>
        </w:rPr>
        <w:t xml:space="preserve"> Mr </w:t>
      </w:r>
      <w:r w:rsidR="0017042F" w:rsidRPr="00160333">
        <w:rPr>
          <w:rFonts w:ascii="Arial" w:hAnsi="Arial" w:cs="Arial"/>
          <w:sz w:val="24"/>
          <w:szCs w:val="24"/>
          <w:lang w:val="en-US"/>
        </w:rPr>
        <w:t>Kanyetu</w:t>
      </w:r>
      <w:r w:rsidRPr="00160333">
        <w:rPr>
          <w:rFonts w:ascii="Arial" w:hAnsi="Arial" w:cs="Arial"/>
          <w:sz w:val="24"/>
          <w:szCs w:val="24"/>
          <w:lang w:val="en-US"/>
        </w:rPr>
        <w:t xml:space="preserve"> rejected the offer as the disputed land did not belong to the DTA but to RTC</w:t>
      </w:r>
      <w:r w:rsidR="002A676F" w:rsidRPr="00160333">
        <w:rPr>
          <w:rFonts w:ascii="Arial" w:hAnsi="Arial" w:cs="Arial"/>
          <w:sz w:val="24"/>
          <w:szCs w:val="24"/>
          <w:lang w:val="en-US"/>
        </w:rPr>
        <w:t xml:space="preserve"> and was being rented by the DTA.</w:t>
      </w:r>
      <w:r w:rsidRPr="00160333">
        <w:rPr>
          <w:rFonts w:ascii="Arial" w:hAnsi="Arial" w:cs="Arial"/>
          <w:sz w:val="24"/>
          <w:szCs w:val="24"/>
          <w:lang w:val="en-US"/>
        </w:rPr>
        <w:t xml:space="preserve"> </w:t>
      </w:r>
      <w:r w:rsidR="0017042F" w:rsidRPr="00160333">
        <w:rPr>
          <w:rFonts w:ascii="Arial" w:hAnsi="Arial" w:cs="Arial"/>
          <w:sz w:val="24"/>
          <w:szCs w:val="24"/>
          <w:lang w:val="en-US"/>
        </w:rPr>
        <w:t>Mr Kanyetu</w:t>
      </w:r>
      <w:r w:rsidRPr="00160333">
        <w:rPr>
          <w:rFonts w:ascii="Arial" w:hAnsi="Arial" w:cs="Arial"/>
          <w:sz w:val="24"/>
          <w:szCs w:val="24"/>
          <w:lang w:val="en-US"/>
        </w:rPr>
        <w:t xml:space="preserve"> further informed him that the process for DTA to purchase the </w:t>
      </w:r>
      <w:r w:rsidR="009D5E49">
        <w:rPr>
          <w:rFonts w:ascii="Arial" w:hAnsi="Arial" w:cs="Arial"/>
          <w:sz w:val="24"/>
          <w:szCs w:val="24"/>
          <w:lang w:val="en-US"/>
        </w:rPr>
        <w:t>disputed land</w:t>
      </w:r>
      <w:r w:rsidRPr="00160333">
        <w:rPr>
          <w:rFonts w:ascii="Arial" w:hAnsi="Arial" w:cs="Arial"/>
          <w:sz w:val="24"/>
          <w:szCs w:val="24"/>
          <w:lang w:val="en-US"/>
        </w:rPr>
        <w:t xml:space="preserve"> from RTC would commence soon and that he would </w:t>
      </w:r>
      <w:r w:rsidR="00573924" w:rsidRPr="00160333">
        <w:rPr>
          <w:rFonts w:ascii="Arial" w:hAnsi="Arial" w:cs="Arial"/>
          <w:sz w:val="24"/>
          <w:szCs w:val="24"/>
          <w:lang w:val="en-US"/>
        </w:rPr>
        <w:t xml:space="preserve">within the </w:t>
      </w:r>
      <w:r w:rsidRPr="00160333">
        <w:rPr>
          <w:rFonts w:ascii="Arial" w:hAnsi="Arial" w:cs="Arial"/>
          <w:sz w:val="24"/>
          <w:szCs w:val="24"/>
          <w:lang w:val="en-US"/>
        </w:rPr>
        <w:t xml:space="preserve">DTA </w:t>
      </w:r>
      <w:r w:rsidR="00573924" w:rsidRPr="00160333">
        <w:rPr>
          <w:rFonts w:ascii="Arial" w:hAnsi="Arial" w:cs="Arial"/>
          <w:sz w:val="24"/>
          <w:szCs w:val="24"/>
          <w:lang w:val="en-US"/>
        </w:rPr>
        <w:t xml:space="preserve">establish </w:t>
      </w:r>
      <w:r w:rsidRPr="00160333">
        <w:rPr>
          <w:rFonts w:ascii="Arial" w:hAnsi="Arial" w:cs="Arial"/>
          <w:sz w:val="24"/>
          <w:szCs w:val="24"/>
          <w:lang w:val="en-US"/>
        </w:rPr>
        <w:t xml:space="preserve">whether there was a </w:t>
      </w:r>
      <w:r w:rsidR="009D5E49">
        <w:rPr>
          <w:rFonts w:ascii="Arial" w:hAnsi="Arial" w:cs="Arial"/>
          <w:sz w:val="24"/>
          <w:szCs w:val="24"/>
          <w:lang w:val="en-US"/>
        </w:rPr>
        <w:t>willingness</w:t>
      </w:r>
      <w:r w:rsidRPr="00160333">
        <w:rPr>
          <w:rFonts w:ascii="Arial" w:hAnsi="Arial" w:cs="Arial"/>
          <w:sz w:val="24"/>
          <w:szCs w:val="24"/>
          <w:lang w:val="en-US"/>
        </w:rPr>
        <w:t xml:space="preserve"> to sell </w:t>
      </w:r>
      <w:r w:rsidR="009D5E49">
        <w:rPr>
          <w:rFonts w:ascii="Arial" w:hAnsi="Arial" w:cs="Arial"/>
          <w:sz w:val="24"/>
          <w:szCs w:val="24"/>
          <w:lang w:val="en-US"/>
        </w:rPr>
        <w:t>it</w:t>
      </w:r>
      <w:r w:rsidRPr="00160333">
        <w:rPr>
          <w:rFonts w:ascii="Arial" w:hAnsi="Arial" w:cs="Arial"/>
          <w:sz w:val="24"/>
          <w:szCs w:val="24"/>
          <w:lang w:val="en-US"/>
        </w:rPr>
        <w:t xml:space="preserve"> once all the requirements </w:t>
      </w:r>
      <w:r w:rsidR="00573924" w:rsidRPr="00160333">
        <w:rPr>
          <w:rFonts w:ascii="Arial" w:hAnsi="Arial" w:cs="Arial"/>
          <w:sz w:val="24"/>
          <w:szCs w:val="24"/>
          <w:lang w:val="en-US"/>
        </w:rPr>
        <w:t>were</w:t>
      </w:r>
      <w:r w:rsidR="00FF3C93">
        <w:rPr>
          <w:rFonts w:ascii="Arial" w:hAnsi="Arial" w:cs="Arial"/>
          <w:sz w:val="24"/>
          <w:szCs w:val="24"/>
          <w:lang w:val="en-US"/>
        </w:rPr>
        <w:t xml:space="preserve"> met.</w:t>
      </w:r>
    </w:p>
    <w:p w14:paraId="155E123C" w14:textId="77777777" w:rsidR="000D66F5" w:rsidRDefault="000D66F5" w:rsidP="00F355DB">
      <w:pPr>
        <w:pStyle w:val="ListParagraph"/>
        <w:spacing w:line="480" w:lineRule="auto"/>
        <w:ind w:left="0"/>
        <w:jc w:val="both"/>
        <w:rPr>
          <w:rFonts w:ascii="Arial" w:hAnsi="Arial" w:cs="Arial"/>
          <w:lang w:val="en-US"/>
        </w:rPr>
      </w:pPr>
    </w:p>
    <w:p w14:paraId="6EABF5F5" w14:textId="6048799A" w:rsidR="00D270BF" w:rsidRPr="00160333" w:rsidRDefault="00573924"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Sometime later</w:t>
      </w:r>
      <w:r w:rsidR="00D270BF" w:rsidRPr="00160333">
        <w:rPr>
          <w:rFonts w:ascii="Arial" w:hAnsi="Arial" w:cs="Arial"/>
          <w:sz w:val="24"/>
          <w:szCs w:val="24"/>
          <w:lang w:val="en-US"/>
        </w:rPr>
        <w:t xml:space="preserve"> in </w:t>
      </w:r>
      <w:r w:rsidR="00910258">
        <w:rPr>
          <w:rFonts w:ascii="Arial" w:hAnsi="Arial" w:cs="Arial"/>
          <w:sz w:val="24"/>
          <w:szCs w:val="24"/>
          <w:lang w:val="en-US"/>
        </w:rPr>
        <w:t>the same year</w:t>
      </w:r>
      <w:r w:rsidR="00D270BF" w:rsidRPr="00160333">
        <w:rPr>
          <w:rFonts w:ascii="Arial" w:hAnsi="Arial" w:cs="Arial"/>
          <w:sz w:val="24"/>
          <w:szCs w:val="24"/>
          <w:lang w:val="en-US"/>
        </w:rPr>
        <w:t xml:space="preserve">, </w:t>
      </w:r>
      <w:r w:rsidRPr="00160333">
        <w:rPr>
          <w:rFonts w:ascii="Arial" w:hAnsi="Arial" w:cs="Arial"/>
          <w:sz w:val="24"/>
          <w:szCs w:val="24"/>
          <w:lang w:val="en-US"/>
        </w:rPr>
        <w:t xml:space="preserve">Mr </w:t>
      </w:r>
      <w:r w:rsidR="0017042F" w:rsidRPr="00160333">
        <w:rPr>
          <w:rFonts w:ascii="Arial" w:hAnsi="Arial" w:cs="Arial"/>
          <w:sz w:val="24"/>
          <w:szCs w:val="24"/>
          <w:lang w:val="en-US"/>
        </w:rPr>
        <w:t>Kanyetu</w:t>
      </w:r>
      <w:r w:rsidR="00D270BF" w:rsidRPr="00160333">
        <w:rPr>
          <w:rFonts w:ascii="Arial" w:hAnsi="Arial" w:cs="Arial"/>
          <w:sz w:val="24"/>
          <w:szCs w:val="24"/>
          <w:lang w:val="en-US"/>
        </w:rPr>
        <w:t xml:space="preserve"> telephonically informed him that DTA had approved the sale of the disputed land</w:t>
      </w:r>
      <w:r w:rsidRPr="00160333">
        <w:rPr>
          <w:rFonts w:ascii="Arial" w:hAnsi="Arial" w:cs="Arial"/>
          <w:sz w:val="24"/>
          <w:szCs w:val="24"/>
          <w:lang w:val="en-US"/>
        </w:rPr>
        <w:t>.</w:t>
      </w:r>
      <w:r w:rsidR="00D270BF" w:rsidRPr="00160333">
        <w:rPr>
          <w:rFonts w:ascii="Arial" w:hAnsi="Arial" w:cs="Arial"/>
          <w:sz w:val="24"/>
          <w:szCs w:val="24"/>
          <w:lang w:val="en-US"/>
        </w:rPr>
        <w:t xml:space="preserve"> </w:t>
      </w:r>
      <w:r w:rsidRPr="00160333">
        <w:rPr>
          <w:rFonts w:ascii="Arial" w:hAnsi="Arial" w:cs="Arial"/>
          <w:sz w:val="24"/>
          <w:szCs w:val="24"/>
          <w:lang w:val="en-US"/>
        </w:rPr>
        <w:t>I</w:t>
      </w:r>
      <w:r w:rsidR="00D270BF" w:rsidRPr="00160333">
        <w:rPr>
          <w:rFonts w:ascii="Arial" w:hAnsi="Arial" w:cs="Arial"/>
          <w:sz w:val="24"/>
          <w:szCs w:val="24"/>
          <w:lang w:val="en-US"/>
        </w:rPr>
        <w:t>n August 2013</w:t>
      </w:r>
      <w:r w:rsidRPr="00160333">
        <w:rPr>
          <w:rFonts w:ascii="Arial" w:hAnsi="Arial" w:cs="Arial"/>
          <w:sz w:val="24"/>
          <w:szCs w:val="24"/>
          <w:lang w:val="en-US"/>
        </w:rPr>
        <w:t>,</w:t>
      </w:r>
      <w:r w:rsidR="00D270BF" w:rsidRPr="00160333">
        <w:rPr>
          <w:rFonts w:ascii="Arial" w:hAnsi="Arial" w:cs="Arial"/>
          <w:sz w:val="24"/>
          <w:szCs w:val="24"/>
          <w:lang w:val="en-US"/>
        </w:rPr>
        <w:t xml:space="preserve"> </w:t>
      </w:r>
      <w:r w:rsidRPr="00160333">
        <w:rPr>
          <w:rFonts w:ascii="Arial" w:hAnsi="Arial" w:cs="Arial"/>
          <w:sz w:val="24"/>
          <w:szCs w:val="24"/>
          <w:lang w:val="en-US"/>
        </w:rPr>
        <w:t xml:space="preserve">he met Mr </w:t>
      </w:r>
      <w:r w:rsidR="00052242" w:rsidRPr="00160333">
        <w:rPr>
          <w:rFonts w:ascii="Arial" w:hAnsi="Arial" w:cs="Arial"/>
          <w:sz w:val="24"/>
          <w:szCs w:val="24"/>
          <w:lang w:val="en-US"/>
        </w:rPr>
        <w:t>Kanyetu</w:t>
      </w:r>
      <w:r w:rsidR="00D270BF" w:rsidRPr="00160333">
        <w:rPr>
          <w:rFonts w:ascii="Arial" w:hAnsi="Arial" w:cs="Arial"/>
          <w:sz w:val="24"/>
          <w:szCs w:val="24"/>
          <w:lang w:val="en-US"/>
        </w:rPr>
        <w:t xml:space="preserve"> </w:t>
      </w:r>
      <w:r w:rsidRPr="00160333">
        <w:rPr>
          <w:rFonts w:ascii="Arial" w:hAnsi="Arial" w:cs="Arial"/>
          <w:sz w:val="24"/>
          <w:szCs w:val="24"/>
          <w:lang w:val="en-US"/>
        </w:rPr>
        <w:t xml:space="preserve">who was </w:t>
      </w:r>
      <w:r w:rsidR="00D270BF" w:rsidRPr="00160333">
        <w:rPr>
          <w:rFonts w:ascii="Arial" w:hAnsi="Arial" w:cs="Arial"/>
          <w:sz w:val="24"/>
          <w:szCs w:val="24"/>
          <w:lang w:val="en-US"/>
        </w:rPr>
        <w:t xml:space="preserve">accompanied by </w:t>
      </w:r>
      <w:r w:rsidRPr="00160333">
        <w:rPr>
          <w:rFonts w:ascii="Arial" w:hAnsi="Arial" w:cs="Arial"/>
          <w:sz w:val="24"/>
          <w:szCs w:val="24"/>
          <w:lang w:val="en-US"/>
        </w:rPr>
        <w:t xml:space="preserve">Messrs </w:t>
      </w:r>
      <w:r w:rsidR="00D270BF" w:rsidRPr="00160333">
        <w:rPr>
          <w:rFonts w:ascii="Arial" w:hAnsi="Arial" w:cs="Arial"/>
          <w:sz w:val="24"/>
          <w:szCs w:val="24"/>
          <w:lang w:val="en-US"/>
        </w:rPr>
        <w:t xml:space="preserve">Kashera and Kudumo - all senior officials of DTA in the Kavango region. At the meeting, they agreed on the purchase price and resolved to approach </w:t>
      </w:r>
      <w:r w:rsidRPr="00160333">
        <w:rPr>
          <w:rFonts w:ascii="Arial" w:hAnsi="Arial" w:cs="Arial"/>
          <w:sz w:val="24"/>
          <w:szCs w:val="24"/>
          <w:lang w:val="en-US"/>
        </w:rPr>
        <w:t xml:space="preserve">the </w:t>
      </w:r>
      <w:r w:rsidR="00D270BF" w:rsidRPr="00160333">
        <w:rPr>
          <w:rFonts w:ascii="Arial" w:hAnsi="Arial" w:cs="Arial"/>
          <w:sz w:val="24"/>
          <w:szCs w:val="24"/>
          <w:lang w:val="en-US"/>
        </w:rPr>
        <w:t>RTC conveyancers for them to draft the necessary agreements to transfer the property from RTC to DTA and simultaneously from DTA to River View</w:t>
      </w:r>
      <w:bookmarkStart w:id="1" w:name="_Hlk98234714"/>
      <w:r w:rsidR="00D270BF" w:rsidRPr="00160333">
        <w:rPr>
          <w:rFonts w:ascii="Arial" w:hAnsi="Arial" w:cs="Arial"/>
          <w:sz w:val="24"/>
          <w:szCs w:val="24"/>
          <w:lang w:val="en-US"/>
        </w:rPr>
        <w:t xml:space="preserve">. At this point, </w:t>
      </w:r>
      <w:r w:rsidRPr="00160333">
        <w:rPr>
          <w:rFonts w:ascii="Arial" w:hAnsi="Arial" w:cs="Arial"/>
          <w:sz w:val="24"/>
          <w:szCs w:val="24"/>
          <w:lang w:val="en-US"/>
        </w:rPr>
        <w:t xml:space="preserve">Mr </w:t>
      </w:r>
      <w:r w:rsidR="0060566B" w:rsidRPr="00160333">
        <w:rPr>
          <w:rFonts w:ascii="Arial" w:hAnsi="Arial" w:cs="Arial"/>
          <w:sz w:val="24"/>
          <w:szCs w:val="24"/>
          <w:lang w:val="en-US"/>
        </w:rPr>
        <w:t>Kashera</w:t>
      </w:r>
      <w:r w:rsidR="00D270BF" w:rsidRPr="00160333">
        <w:rPr>
          <w:rFonts w:ascii="Arial" w:hAnsi="Arial" w:cs="Arial"/>
          <w:sz w:val="24"/>
          <w:szCs w:val="24"/>
          <w:lang w:val="en-US"/>
        </w:rPr>
        <w:t xml:space="preserve"> had already signed the sales agreement between DTA and </w:t>
      </w:r>
      <w:r w:rsidR="00D270BF" w:rsidRPr="00160333">
        <w:rPr>
          <w:rFonts w:ascii="Arial" w:hAnsi="Arial" w:cs="Arial"/>
          <w:sz w:val="24"/>
          <w:szCs w:val="24"/>
          <w:lang w:val="en-US"/>
        </w:rPr>
        <w:lastRenderedPageBreak/>
        <w:t xml:space="preserve">RTC on 9 August 2013 and when they met on the 15 August 2013 in Windhoek, they </w:t>
      </w:r>
      <w:r w:rsidRPr="00160333">
        <w:rPr>
          <w:rFonts w:ascii="Arial" w:hAnsi="Arial" w:cs="Arial"/>
          <w:sz w:val="24"/>
          <w:szCs w:val="24"/>
          <w:lang w:val="en-US"/>
        </w:rPr>
        <w:t xml:space="preserve">reduced </w:t>
      </w:r>
      <w:r w:rsidR="00D270BF" w:rsidRPr="00160333">
        <w:rPr>
          <w:rFonts w:ascii="Arial" w:hAnsi="Arial" w:cs="Arial"/>
          <w:sz w:val="24"/>
          <w:szCs w:val="24"/>
          <w:lang w:val="en-US"/>
        </w:rPr>
        <w:t>the agreed terms in the deed of sale between River View and DTA.</w:t>
      </w:r>
    </w:p>
    <w:p w14:paraId="5607B4FC" w14:textId="77777777" w:rsidR="00D270BF" w:rsidRPr="00DA4A51" w:rsidRDefault="00D270BF" w:rsidP="00F355DB">
      <w:pPr>
        <w:pStyle w:val="ListParagraph"/>
        <w:spacing w:line="480" w:lineRule="auto"/>
        <w:ind w:left="0"/>
        <w:jc w:val="both"/>
        <w:rPr>
          <w:rFonts w:ascii="Arial" w:hAnsi="Arial" w:cs="Arial"/>
          <w:lang w:val="en-US"/>
        </w:rPr>
      </w:pPr>
    </w:p>
    <w:p w14:paraId="4E1AC3EB" w14:textId="53B109C7" w:rsidR="00D270BF" w:rsidRPr="00160333" w:rsidRDefault="00573924"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 xml:space="preserve">Mr </w:t>
      </w:r>
      <w:r w:rsidR="00D270BF" w:rsidRPr="00160333">
        <w:rPr>
          <w:rFonts w:ascii="Arial" w:hAnsi="Arial" w:cs="Arial"/>
          <w:sz w:val="24"/>
          <w:szCs w:val="24"/>
          <w:lang w:val="en-US"/>
        </w:rPr>
        <w:t xml:space="preserve">Hausiku </w:t>
      </w:r>
      <w:r w:rsidR="00910258">
        <w:rPr>
          <w:rFonts w:ascii="Arial" w:hAnsi="Arial" w:cs="Arial"/>
          <w:sz w:val="24"/>
          <w:szCs w:val="24"/>
          <w:lang w:val="en-US"/>
        </w:rPr>
        <w:t xml:space="preserve">also </w:t>
      </w:r>
      <w:r w:rsidR="00D270BF" w:rsidRPr="00160333">
        <w:rPr>
          <w:rFonts w:ascii="Arial" w:hAnsi="Arial" w:cs="Arial"/>
          <w:sz w:val="24"/>
          <w:szCs w:val="24"/>
          <w:lang w:val="en-US"/>
        </w:rPr>
        <w:t>testified about the payments he made in terms of the two-way agreement</w:t>
      </w:r>
      <w:r w:rsidR="00910258">
        <w:rPr>
          <w:rFonts w:ascii="Arial" w:hAnsi="Arial" w:cs="Arial"/>
          <w:sz w:val="24"/>
          <w:szCs w:val="24"/>
          <w:lang w:val="en-US"/>
        </w:rPr>
        <w:t>s</w:t>
      </w:r>
      <w:r w:rsidR="00D270BF" w:rsidRPr="00160333">
        <w:rPr>
          <w:rFonts w:ascii="Arial" w:hAnsi="Arial" w:cs="Arial"/>
          <w:sz w:val="24"/>
          <w:szCs w:val="24"/>
          <w:lang w:val="en-US"/>
        </w:rPr>
        <w:t xml:space="preserve">. </w:t>
      </w:r>
      <w:r w:rsidR="000E63FC" w:rsidRPr="00160333">
        <w:rPr>
          <w:rFonts w:ascii="Arial" w:hAnsi="Arial" w:cs="Arial"/>
          <w:sz w:val="24"/>
          <w:szCs w:val="24"/>
          <w:lang w:val="en-US"/>
        </w:rPr>
        <w:t>I have already referred to the amount paid by River View in respect of the two-way transaction</w:t>
      </w:r>
      <w:r w:rsidR="0038256F" w:rsidRPr="00160333">
        <w:rPr>
          <w:rFonts w:ascii="Arial" w:hAnsi="Arial" w:cs="Arial"/>
          <w:sz w:val="24"/>
          <w:szCs w:val="24"/>
          <w:lang w:val="en-US"/>
        </w:rPr>
        <w:t>s</w:t>
      </w:r>
      <w:r w:rsidR="000E63FC" w:rsidRPr="00160333">
        <w:rPr>
          <w:rFonts w:ascii="Arial" w:hAnsi="Arial" w:cs="Arial"/>
          <w:sz w:val="24"/>
          <w:szCs w:val="24"/>
          <w:lang w:val="en-US"/>
        </w:rPr>
        <w:t xml:space="preserve"> and since there is no dispute that such payment was made</w:t>
      </w:r>
      <w:r w:rsidR="00910258">
        <w:rPr>
          <w:rFonts w:ascii="Arial" w:hAnsi="Arial" w:cs="Arial"/>
          <w:sz w:val="24"/>
          <w:szCs w:val="24"/>
          <w:lang w:val="en-US"/>
        </w:rPr>
        <w:t>,</w:t>
      </w:r>
      <w:r w:rsidR="000E63FC" w:rsidRPr="00160333">
        <w:rPr>
          <w:rFonts w:ascii="Arial" w:hAnsi="Arial" w:cs="Arial"/>
          <w:sz w:val="24"/>
          <w:szCs w:val="24"/>
          <w:lang w:val="en-US"/>
        </w:rPr>
        <w:t xml:space="preserve"> I find it unnecessary to set out Mr Hausiku’s detailed evidence on the payments. </w:t>
      </w:r>
      <w:bookmarkEnd w:id="1"/>
    </w:p>
    <w:p w14:paraId="3A82DD36" w14:textId="77777777" w:rsidR="00D270BF" w:rsidRPr="00160333" w:rsidRDefault="00D270BF" w:rsidP="00F355DB">
      <w:pPr>
        <w:pStyle w:val="ListParagraph"/>
        <w:spacing w:line="480" w:lineRule="auto"/>
        <w:ind w:left="0"/>
        <w:jc w:val="both"/>
        <w:rPr>
          <w:rFonts w:ascii="Arial" w:hAnsi="Arial" w:cs="Arial"/>
          <w:lang w:val="en-US"/>
        </w:rPr>
      </w:pPr>
    </w:p>
    <w:p w14:paraId="496D3AFB" w14:textId="2F4FC602" w:rsidR="00D270BF" w:rsidRPr="00160333" w:rsidRDefault="0060566B"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 xml:space="preserve">Mr </w:t>
      </w:r>
      <w:r w:rsidR="00D270BF" w:rsidRPr="00160333">
        <w:rPr>
          <w:rFonts w:ascii="Arial" w:hAnsi="Arial" w:cs="Arial"/>
          <w:sz w:val="24"/>
          <w:szCs w:val="24"/>
          <w:lang w:val="en-US"/>
        </w:rPr>
        <w:t xml:space="preserve">Hausiku testified that despite </w:t>
      </w:r>
      <w:r w:rsidRPr="00160333">
        <w:rPr>
          <w:rFonts w:ascii="Arial" w:hAnsi="Arial" w:cs="Arial"/>
          <w:sz w:val="24"/>
          <w:szCs w:val="24"/>
          <w:lang w:val="en-US"/>
        </w:rPr>
        <w:t>the transfer of the disputed land</w:t>
      </w:r>
      <w:r w:rsidR="00D270BF" w:rsidRPr="00160333">
        <w:rPr>
          <w:rFonts w:ascii="Arial" w:hAnsi="Arial" w:cs="Arial"/>
          <w:sz w:val="24"/>
          <w:szCs w:val="24"/>
          <w:lang w:val="en-US"/>
        </w:rPr>
        <w:t xml:space="preserve"> in the name of River View, DTA remain</w:t>
      </w:r>
      <w:r w:rsidR="000E63FC" w:rsidRPr="00160333">
        <w:rPr>
          <w:rFonts w:ascii="Arial" w:hAnsi="Arial" w:cs="Arial"/>
          <w:sz w:val="24"/>
          <w:szCs w:val="24"/>
          <w:lang w:val="en-US"/>
        </w:rPr>
        <w:t xml:space="preserve">s </w:t>
      </w:r>
      <w:r w:rsidRPr="00160333">
        <w:rPr>
          <w:rFonts w:ascii="Arial" w:hAnsi="Arial" w:cs="Arial"/>
          <w:sz w:val="24"/>
          <w:szCs w:val="24"/>
          <w:lang w:val="en-US"/>
        </w:rPr>
        <w:t>in occupation of it</w:t>
      </w:r>
      <w:r w:rsidR="00D270BF" w:rsidRPr="00160333">
        <w:rPr>
          <w:rFonts w:ascii="Arial" w:hAnsi="Arial" w:cs="Arial"/>
          <w:sz w:val="24"/>
          <w:szCs w:val="24"/>
          <w:lang w:val="en-US"/>
        </w:rPr>
        <w:t xml:space="preserve"> and since November 2014 River View has not derived any benefit from the property. In </w:t>
      </w:r>
      <w:r w:rsidR="0079743D" w:rsidRPr="00160333">
        <w:rPr>
          <w:rFonts w:ascii="Arial" w:hAnsi="Arial" w:cs="Arial"/>
          <w:sz w:val="24"/>
          <w:szCs w:val="24"/>
          <w:lang w:val="en-US"/>
        </w:rPr>
        <w:t xml:space="preserve">support of </w:t>
      </w:r>
      <w:r w:rsidR="00D270BF" w:rsidRPr="00160333">
        <w:rPr>
          <w:rFonts w:ascii="Arial" w:hAnsi="Arial" w:cs="Arial"/>
          <w:sz w:val="24"/>
          <w:szCs w:val="24"/>
          <w:lang w:val="en-US"/>
        </w:rPr>
        <w:t xml:space="preserve">River View’s counter-claim he stated that a reasonable rental for the property </w:t>
      </w:r>
      <w:r w:rsidR="0079743D" w:rsidRPr="00160333">
        <w:rPr>
          <w:rFonts w:ascii="Arial" w:hAnsi="Arial" w:cs="Arial"/>
          <w:sz w:val="24"/>
          <w:szCs w:val="24"/>
          <w:lang w:val="en-US"/>
        </w:rPr>
        <w:t>is</w:t>
      </w:r>
      <w:r w:rsidR="00D270BF" w:rsidRPr="00160333">
        <w:rPr>
          <w:rFonts w:ascii="Arial" w:hAnsi="Arial" w:cs="Arial"/>
          <w:sz w:val="24"/>
          <w:szCs w:val="24"/>
          <w:lang w:val="en-US"/>
        </w:rPr>
        <w:t xml:space="preserve"> N$3000 per month and River View continues to suffer </w:t>
      </w:r>
      <w:r w:rsidR="000E63FC" w:rsidRPr="00160333">
        <w:rPr>
          <w:rFonts w:ascii="Arial" w:hAnsi="Arial" w:cs="Arial"/>
          <w:sz w:val="24"/>
          <w:szCs w:val="24"/>
          <w:lang w:val="en-US"/>
        </w:rPr>
        <w:t>a</w:t>
      </w:r>
      <w:r w:rsidR="00D270BF" w:rsidRPr="00160333">
        <w:rPr>
          <w:rFonts w:ascii="Arial" w:hAnsi="Arial" w:cs="Arial"/>
          <w:sz w:val="24"/>
          <w:szCs w:val="24"/>
          <w:lang w:val="en-US"/>
        </w:rPr>
        <w:t xml:space="preserve"> loss in that amount every mont</w:t>
      </w:r>
      <w:r w:rsidR="009E28A5" w:rsidRPr="00160333">
        <w:rPr>
          <w:rFonts w:ascii="Arial" w:hAnsi="Arial" w:cs="Arial"/>
          <w:sz w:val="24"/>
          <w:szCs w:val="24"/>
          <w:lang w:val="en-US"/>
        </w:rPr>
        <w:t>h that DTA remains in occupation</w:t>
      </w:r>
      <w:r w:rsidR="00D270BF" w:rsidRPr="00160333">
        <w:rPr>
          <w:rFonts w:ascii="Arial" w:hAnsi="Arial" w:cs="Arial"/>
          <w:sz w:val="24"/>
          <w:szCs w:val="24"/>
          <w:lang w:val="en-US"/>
        </w:rPr>
        <w:t>.</w:t>
      </w:r>
    </w:p>
    <w:p w14:paraId="5C7FF94E" w14:textId="77777777" w:rsidR="00D270BF" w:rsidRPr="00160333" w:rsidRDefault="00D270BF" w:rsidP="00F355DB">
      <w:pPr>
        <w:pStyle w:val="ListParagraph"/>
        <w:spacing w:line="480" w:lineRule="auto"/>
        <w:ind w:left="0"/>
        <w:jc w:val="both"/>
        <w:rPr>
          <w:rFonts w:ascii="Arial" w:hAnsi="Arial" w:cs="Arial"/>
          <w:lang w:val="en-US"/>
        </w:rPr>
      </w:pPr>
    </w:p>
    <w:p w14:paraId="348BFECD" w14:textId="07A8D1EC" w:rsidR="00D270BF" w:rsidRPr="00160333" w:rsidRDefault="0079743D"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 xml:space="preserve">Mr </w:t>
      </w:r>
      <w:r w:rsidR="00D270BF" w:rsidRPr="00160333">
        <w:rPr>
          <w:rFonts w:ascii="Arial" w:hAnsi="Arial" w:cs="Arial"/>
          <w:sz w:val="24"/>
          <w:szCs w:val="24"/>
          <w:lang w:val="en-US"/>
        </w:rPr>
        <w:t xml:space="preserve">Hausiku </w:t>
      </w:r>
      <w:r w:rsidR="00FC651C">
        <w:rPr>
          <w:rFonts w:ascii="Arial" w:hAnsi="Arial" w:cs="Arial"/>
          <w:sz w:val="24"/>
          <w:szCs w:val="24"/>
          <w:lang w:val="en-US"/>
        </w:rPr>
        <w:t>maintained i</w:t>
      </w:r>
      <w:r w:rsidRPr="00160333">
        <w:rPr>
          <w:rFonts w:ascii="Arial" w:hAnsi="Arial" w:cs="Arial"/>
          <w:sz w:val="24"/>
          <w:szCs w:val="24"/>
          <w:lang w:val="en-US"/>
        </w:rPr>
        <w:t>n cross-examination that although the transfer</w:t>
      </w:r>
      <w:r w:rsidR="00D270BF" w:rsidRPr="00160333">
        <w:rPr>
          <w:rFonts w:ascii="Arial" w:hAnsi="Arial" w:cs="Arial"/>
          <w:sz w:val="24"/>
          <w:szCs w:val="24"/>
          <w:lang w:val="en-US"/>
        </w:rPr>
        <w:t xml:space="preserve"> from RTC to DTA and from DTA to River View were two separate trans</w:t>
      </w:r>
      <w:r w:rsidR="00310C1F" w:rsidRPr="00160333">
        <w:rPr>
          <w:rFonts w:ascii="Arial" w:hAnsi="Arial" w:cs="Arial"/>
          <w:sz w:val="24"/>
          <w:szCs w:val="24"/>
          <w:lang w:val="en-US"/>
        </w:rPr>
        <w:t>actions</w:t>
      </w:r>
      <w:r w:rsidR="00D270BF" w:rsidRPr="00160333">
        <w:rPr>
          <w:rFonts w:ascii="Arial" w:hAnsi="Arial" w:cs="Arial"/>
          <w:sz w:val="24"/>
          <w:szCs w:val="24"/>
          <w:lang w:val="en-US"/>
        </w:rPr>
        <w:t xml:space="preserve">, </w:t>
      </w:r>
      <w:r w:rsidRPr="00160333">
        <w:rPr>
          <w:rFonts w:ascii="Arial" w:hAnsi="Arial" w:cs="Arial"/>
          <w:sz w:val="24"/>
          <w:szCs w:val="24"/>
          <w:lang w:val="en-US"/>
        </w:rPr>
        <w:t>both were consummated by the same DTA</w:t>
      </w:r>
      <w:r w:rsidR="00D270BF" w:rsidRPr="00160333">
        <w:rPr>
          <w:rFonts w:ascii="Arial" w:hAnsi="Arial" w:cs="Arial"/>
          <w:sz w:val="24"/>
          <w:szCs w:val="24"/>
          <w:lang w:val="en-US"/>
        </w:rPr>
        <w:t xml:space="preserve"> representative</w:t>
      </w:r>
      <w:r w:rsidRPr="00160333">
        <w:rPr>
          <w:rFonts w:ascii="Arial" w:hAnsi="Arial" w:cs="Arial"/>
          <w:sz w:val="24"/>
          <w:szCs w:val="24"/>
          <w:lang w:val="en-US"/>
        </w:rPr>
        <w:t xml:space="preserve">. </w:t>
      </w:r>
      <w:r w:rsidR="00910258">
        <w:rPr>
          <w:rFonts w:ascii="Arial" w:hAnsi="Arial" w:cs="Arial"/>
          <w:sz w:val="24"/>
          <w:szCs w:val="24"/>
          <w:lang w:val="en-US"/>
        </w:rPr>
        <w:t>Therefore, a</w:t>
      </w:r>
      <w:r w:rsidRPr="00160333">
        <w:rPr>
          <w:rFonts w:ascii="Arial" w:hAnsi="Arial" w:cs="Arial"/>
          <w:sz w:val="24"/>
          <w:szCs w:val="24"/>
          <w:lang w:val="en-US"/>
        </w:rPr>
        <w:t>ccording to the witness it cannot be correct that the first transaction is valid although allegedly not authorised by the DTA</w:t>
      </w:r>
      <w:r w:rsidR="00D270BF" w:rsidRPr="00160333">
        <w:rPr>
          <w:rFonts w:ascii="Arial" w:hAnsi="Arial" w:cs="Arial"/>
          <w:sz w:val="24"/>
          <w:szCs w:val="24"/>
          <w:lang w:val="en-US"/>
        </w:rPr>
        <w:t xml:space="preserve">, </w:t>
      </w:r>
      <w:r w:rsidRPr="00160333">
        <w:rPr>
          <w:rFonts w:ascii="Arial" w:hAnsi="Arial" w:cs="Arial"/>
          <w:sz w:val="24"/>
          <w:szCs w:val="24"/>
          <w:lang w:val="en-US"/>
        </w:rPr>
        <w:t>whilst the transfer to River View is invalid because i</w:t>
      </w:r>
      <w:r w:rsidR="007E16E4">
        <w:rPr>
          <w:rFonts w:ascii="Arial" w:hAnsi="Arial" w:cs="Arial"/>
          <w:sz w:val="24"/>
          <w:szCs w:val="24"/>
          <w:lang w:val="en-US"/>
        </w:rPr>
        <w:t>t was allegedly not authorised.</w:t>
      </w:r>
    </w:p>
    <w:p w14:paraId="23787593" w14:textId="77777777" w:rsidR="0079743D" w:rsidRDefault="0079743D" w:rsidP="00F355DB">
      <w:pPr>
        <w:pStyle w:val="ListParagraph"/>
        <w:spacing w:line="480" w:lineRule="auto"/>
        <w:ind w:left="0"/>
        <w:jc w:val="both"/>
        <w:rPr>
          <w:rFonts w:ascii="Arial" w:hAnsi="Arial" w:cs="Arial"/>
          <w:lang w:val="en-US"/>
        </w:rPr>
      </w:pPr>
    </w:p>
    <w:p w14:paraId="3587686E" w14:textId="6E084623" w:rsidR="0079743D" w:rsidRPr="00160333" w:rsidRDefault="0079743D"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 xml:space="preserve">The core of the dispute before the High Court </w:t>
      </w:r>
      <w:r w:rsidR="009E28A5" w:rsidRPr="00160333">
        <w:rPr>
          <w:rFonts w:ascii="Arial" w:hAnsi="Arial" w:cs="Arial"/>
          <w:sz w:val="24"/>
          <w:szCs w:val="24"/>
          <w:lang w:val="en-US"/>
        </w:rPr>
        <w:t>was whether the regional representatives</w:t>
      </w:r>
      <w:r w:rsidRPr="00160333">
        <w:rPr>
          <w:rFonts w:ascii="Arial" w:hAnsi="Arial" w:cs="Arial"/>
          <w:sz w:val="24"/>
          <w:szCs w:val="24"/>
          <w:lang w:val="en-US"/>
        </w:rPr>
        <w:t xml:space="preserve"> of the DTA were duly authorised, alternatively should, because of the manner in which they conducted themselves </w:t>
      </w:r>
      <w:r w:rsidRPr="00160333">
        <w:rPr>
          <w:rFonts w:ascii="Arial" w:hAnsi="Arial" w:cs="Arial"/>
          <w:i/>
          <w:sz w:val="24"/>
          <w:szCs w:val="24"/>
          <w:lang w:val="en-US"/>
        </w:rPr>
        <w:t>vis a vis</w:t>
      </w:r>
      <w:r w:rsidRPr="00160333">
        <w:rPr>
          <w:rFonts w:ascii="Arial" w:hAnsi="Arial" w:cs="Arial"/>
          <w:sz w:val="24"/>
          <w:szCs w:val="24"/>
          <w:lang w:val="en-US"/>
        </w:rPr>
        <w:t xml:space="preserve"> the representative of River View, </w:t>
      </w:r>
      <w:r w:rsidRPr="00160333">
        <w:rPr>
          <w:rFonts w:ascii="Arial" w:hAnsi="Arial" w:cs="Arial"/>
          <w:sz w:val="24"/>
          <w:szCs w:val="24"/>
          <w:lang w:val="en-US"/>
        </w:rPr>
        <w:lastRenderedPageBreak/>
        <w:t>be deemed to have been authorised to act on behalf of the DTA in effecting the transfer of the disputed land to River View.</w:t>
      </w:r>
    </w:p>
    <w:p w14:paraId="253239E7" w14:textId="77777777" w:rsidR="0079743D" w:rsidRPr="00160333" w:rsidRDefault="0079743D" w:rsidP="00F355DB">
      <w:pPr>
        <w:pStyle w:val="ListParagraph"/>
        <w:spacing w:line="480" w:lineRule="auto"/>
        <w:ind w:left="0"/>
        <w:jc w:val="both"/>
        <w:rPr>
          <w:rFonts w:ascii="Arial" w:hAnsi="Arial" w:cs="Arial"/>
          <w:lang w:val="en-US"/>
        </w:rPr>
      </w:pPr>
    </w:p>
    <w:p w14:paraId="2A9F2E11" w14:textId="77777777" w:rsidR="00E60AAB" w:rsidRPr="00160333" w:rsidRDefault="00E60AAB" w:rsidP="00F355DB">
      <w:pPr>
        <w:spacing w:line="480" w:lineRule="auto"/>
        <w:jc w:val="both"/>
        <w:rPr>
          <w:rFonts w:ascii="Arial" w:hAnsi="Arial" w:cs="Arial"/>
          <w:u w:val="single"/>
          <w:lang w:val="en-US"/>
        </w:rPr>
      </w:pPr>
      <w:r w:rsidRPr="00160333">
        <w:rPr>
          <w:rFonts w:ascii="Arial" w:hAnsi="Arial" w:cs="Arial"/>
          <w:u w:val="single"/>
          <w:lang w:val="en-US"/>
        </w:rPr>
        <w:t>The High Court’s approach</w:t>
      </w:r>
    </w:p>
    <w:p w14:paraId="7289F8D0" w14:textId="03527625" w:rsidR="00FC651C" w:rsidRDefault="00E60AAB" w:rsidP="00FC651C">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The High Court first dealt with two anterior issues which it had raised of its own motion, (a) whether the case was properly before it in the light of the common cause failure by the DTA to comply with s 97(1) of the Deeds Registries Act 47 of 1937</w:t>
      </w:r>
      <w:r w:rsidR="00242CFB" w:rsidRPr="00160333">
        <w:rPr>
          <w:rFonts w:ascii="Arial" w:hAnsi="Arial" w:cs="Arial"/>
          <w:sz w:val="24"/>
          <w:szCs w:val="24"/>
          <w:lang w:val="en-US"/>
        </w:rPr>
        <w:t>,</w:t>
      </w:r>
      <w:r w:rsidRPr="00160333">
        <w:rPr>
          <w:rFonts w:ascii="Arial" w:hAnsi="Arial" w:cs="Arial"/>
          <w:sz w:val="24"/>
          <w:szCs w:val="24"/>
          <w:lang w:val="en-US"/>
        </w:rPr>
        <w:t xml:space="preserve"> and (b) the effect of the admitted fraud on the Receiver. </w:t>
      </w:r>
      <w:r w:rsidR="00242CFB" w:rsidRPr="00160333">
        <w:rPr>
          <w:rFonts w:ascii="Arial" w:hAnsi="Arial" w:cs="Arial"/>
          <w:sz w:val="24"/>
          <w:szCs w:val="24"/>
          <w:lang w:val="en-US"/>
        </w:rPr>
        <w:t xml:space="preserve"> Section 97(1)</w:t>
      </w:r>
      <w:r w:rsidR="00242CFB" w:rsidRPr="00160333">
        <w:rPr>
          <w:rStyle w:val="FootnoteReference"/>
          <w:rFonts w:ascii="Arial" w:hAnsi="Arial" w:cs="Arial"/>
          <w:sz w:val="24"/>
          <w:szCs w:val="24"/>
          <w:lang w:val="en-US"/>
        </w:rPr>
        <w:footnoteReference w:id="2"/>
      </w:r>
      <w:r w:rsidR="00242CFB" w:rsidRPr="00160333">
        <w:rPr>
          <w:rFonts w:ascii="Arial" w:hAnsi="Arial" w:cs="Arial"/>
          <w:sz w:val="24"/>
          <w:szCs w:val="24"/>
          <w:lang w:val="en-US"/>
        </w:rPr>
        <w:t xml:space="preserve"> provides that:</w:t>
      </w:r>
    </w:p>
    <w:p w14:paraId="4E3479D4" w14:textId="77777777" w:rsidR="000E275F" w:rsidRPr="00FC651C" w:rsidRDefault="000E275F" w:rsidP="000E275F">
      <w:pPr>
        <w:pStyle w:val="NoSpacing"/>
        <w:spacing w:line="480" w:lineRule="auto"/>
        <w:jc w:val="both"/>
        <w:rPr>
          <w:rFonts w:ascii="Arial" w:hAnsi="Arial" w:cs="Arial"/>
          <w:sz w:val="24"/>
          <w:szCs w:val="24"/>
          <w:lang w:val="en-US"/>
        </w:rPr>
      </w:pPr>
    </w:p>
    <w:p w14:paraId="2B592715" w14:textId="03B50C79" w:rsidR="00F211B3" w:rsidRDefault="00242CFB" w:rsidP="007E16E4">
      <w:pPr>
        <w:pStyle w:val="ListParagraph"/>
        <w:spacing w:line="360" w:lineRule="auto"/>
        <w:jc w:val="both"/>
        <w:rPr>
          <w:rFonts w:ascii="Arial" w:hAnsi="Arial" w:cs="Arial"/>
          <w:sz w:val="22"/>
          <w:szCs w:val="22"/>
          <w:lang w:val="en-US"/>
        </w:rPr>
      </w:pPr>
      <w:r w:rsidRPr="00242CFB">
        <w:rPr>
          <w:rFonts w:ascii="Arial" w:hAnsi="Arial" w:cs="Arial"/>
          <w:sz w:val="22"/>
          <w:szCs w:val="22"/>
          <w:lang w:val="en-US"/>
        </w:rPr>
        <w:t>‘Before any application is made to the court for authority or an order involving the performance of any act in a deeds registry, the applicant shall give the registrar concerned at least seven days' notice before the hearing of such application and such registrar may submit to the court such report thereon a</w:t>
      </w:r>
      <w:r w:rsidR="00836893">
        <w:rPr>
          <w:rFonts w:ascii="Arial" w:hAnsi="Arial" w:cs="Arial"/>
          <w:sz w:val="22"/>
          <w:szCs w:val="22"/>
          <w:lang w:val="en-US"/>
        </w:rPr>
        <w:t>s he may deem desirable to make</w:t>
      </w:r>
      <w:r w:rsidR="00F44A5A">
        <w:rPr>
          <w:rFonts w:ascii="Arial" w:hAnsi="Arial" w:cs="Arial"/>
          <w:sz w:val="22"/>
          <w:szCs w:val="22"/>
          <w:lang w:val="en-US"/>
        </w:rPr>
        <w:t>.</w:t>
      </w:r>
      <w:r w:rsidR="00836893">
        <w:rPr>
          <w:rFonts w:ascii="Arial" w:hAnsi="Arial" w:cs="Arial"/>
          <w:sz w:val="22"/>
          <w:szCs w:val="22"/>
          <w:lang w:val="en-US"/>
        </w:rPr>
        <w:t>’</w:t>
      </w:r>
    </w:p>
    <w:p w14:paraId="34487D86" w14:textId="77777777" w:rsidR="00F211B3" w:rsidRDefault="00F211B3" w:rsidP="00F211B3">
      <w:pPr>
        <w:pStyle w:val="ListParagraph"/>
        <w:spacing w:line="480" w:lineRule="auto"/>
        <w:jc w:val="both"/>
        <w:rPr>
          <w:rFonts w:ascii="Arial" w:hAnsi="Arial" w:cs="Arial"/>
          <w:sz w:val="22"/>
          <w:szCs w:val="22"/>
          <w:lang w:val="en-US"/>
        </w:rPr>
      </w:pPr>
    </w:p>
    <w:p w14:paraId="1D9FCD8F" w14:textId="163D27A0" w:rsidR="00F44A5A" w:rsidRPr="00F211B3" w:rsidRDefault="00F44A5A" w:rsidP="00F211B3">
      <w:pPr>
        <w:pStyle w:val="NoSpacing"/>
        <w:numPr>
          <w:ilvl w:val="0"/>
          <w:numId w:val="7"/>
        </w:numPr>
        <w:spacing w:line="480" w:lineRule="auto"/>
        <w:ind w:left="0" w:firstLine="0"/>
        <w:jc w:val="both"/>
        <w:rPr>
          <w:rFonts w:ascii="Arial" w:hAnsi="Arial" w:cs="Arial"/>
          <w:sz w:val="24"/>
          <w:szCs w:val="24"/>
          <w:lang w:val="en-US"/>
        </w:rPr>
      </w:pPr>
      <w:r w:rsidRPr="00F211B3">
        <w:rPr>
          <w:rFonts w:ascii="Arial" w:hAnsi="Arial" w:cs="Arial"/>
          <w:sz w:val="24"/>
          <w:szCs w:val="24"/>
          <w:lang w:val="en-US"/>
        </w:rPr>
        <w:t xml:space="preserve">At the end of this judgment I deal with how the court </w:t>
      </w:r>
      <w:r w:rsidRPr="00836893">
        <w:rPr>
          <w:rFonts w:ascii="Arial" w:hAnsi="Arial" w:cs="Arial"/>
          <w:i/>
          <w:sz w:val="24"/>
          <w:szCs w:val="24"/>
          <w:lang w:val="en-US"/>
        </w:rPr>
        <w:t>a quo</w:t>
      </w:r>
      <w:r w:rsidRPr="00F211B3">
        <w:rPr>
          <w:rFonts w:ascii="Arial" w:hAnsi="Arial" w:cs="Arial"/>
          <w:sz w:val="24"/>
          <w:szCs w:val="24"/>
          <w:lang w:val="en-US"/>
        </w:rPr>
        <w:t xml:space="preserve"> resolved this issue.</w:t>
      </w:r>
    </w:p>
    <w:p w14:paraId="01FEF79C" w14:textId="77777777" w:rsidR="00F44A5A" w:rsidRPr="00F44A5A" w:rsidRDefault="00F44A5A" w:rsidP="00F44A5A">
      <w:pPr>
        <w:pStyle w:val="ListParagraph"/>
        <w:spacing w:line="480" w:lineRule="auto"/>
        <w:jc w:val="both"/>
        <w:rPr>
          <w:rFonts w:ascii="Arial" w:hAnsi="Arial" w:cs="Arial"/>
          <w:sz w:val="22"/>
          <w:szCs w:val="22"/>
          <w:lang w:val="en-US"/>
        </w:rPr>
      </w:pPr>
    </w:p>
    <w:p w14:paraId="1C2EAB1E" w14:textId="226BFE17" w:rsidR="00E60AAB" w:rsidRDefault="00E60AAB"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 xml:space="preserve">The learned judge </w:t>
      </w:r>
      <w:r w:rsidRPr="00160333">
        <w:rPr>
          <w:rFonts w:ascii="Arial" w:hAnsi="Arial" w:cs="Arial"/>
          <w:i/>
          <w:sz w:val="24"/>
          <w:szCs w:val="24"/>
          <w:lang w:val="en-US"/>
        </w:rPr>
        <w:t>a quo</w:t>
      </w:r>
      <w:r w:rsidRPr="00160333">
        <w:rPr>
          <w:rFonts w:ascii="Arial" w:hAnsi="Arial" w:cs="Arial"/>
          <w:sz w:val="24"/>
          <w:szCs w:val="24"/>
          <w:lang w:val="en-US"/>
        </w:rPr>
        <w:t xml:space="preserve"> held that there was no valid real agreement between the DTA and River View for the sale of the disputed land because </w:t>
      </w:r>
      <w:r w:rsidR="00C96613">
        <w:rPr>
          <w:rFonts w:ascii="Arial" w:hAnsi="Arial" w:cs="Arial"/>
          <w:sz w:val="24"/>
          <w:szCs w:val="24"/>
          <w:lang w:val="en-US"/>
        </w:rPr>
        <w:t xml:space="preserve">Mr </w:t>
      </w:r>
      <w:r w:rsidRPr="00160333">
        <w:rPr>
          <w:rFonts w:ascii="Arial" w:hAnsi="Arial" w:cs="Arial"/>
          <w:sz w:val="24"/>
          <w:szCs w:val="24"/>
          <w:lang w:val="en-US"/>
        </w:rPr>
        <w:t>Kasher</w:t>
      </w:r>
      <w:r w:rsidR="004F1E14" w:rsidRPr="00160333">
        <w:rPr>
          <w:rFonts w:ascii="Arial" w:hAnsi="Arial" w:cs="Arial"/>
          <w:sz w:val="24"/>
          <w:szCs w:val="24"/>
          <w:lang w:val="en-US"/>
        </w:rPr>
        <w:t>a was not authorised under the c</w:t>
      </w:r>
      <w:r w:rsidRPr="00160333">
        <w:rPr>
          <w:rFonts w:ascii="Arial" w:hAnsi="Arial" w:cs="Arial"/>
          <w:sz w:val="24"/>
          <w:szCs w:val="24"/>
          <w:lang w:val="en-US"/>
        </w:rPr>
        <w:t xml:space="preserve">onstitution of the DTA to perform such a juridical act. </w:t>
      </w:r>
      <w:r w:rsidR="00FE1FE9" w:rsidRPr="00160333">
        <w:rPr>
          <w:rFonts w:ascii="Arial" w:hAnsi="Arial" w:cs="Arial"/>
          <w:sz w:val="24"/>
          <w:szCs w:val="24"/>
          <w:lang w:val="en-US"/>
        </w:rPr>
        <w:t xml:space="preserve">The court </w:t>
      </w:r>
      <w:r w:rsidRPr="00160333">
        <w:rPr>
          <w:rFonts w:ascii="Arial" w:hAnsi="Arial" w:cs="Arial"/>
          <w:sz w:val="24"/>
          <w:szCs w:val="24"/>
          <w:lang w:val="en-US"/>
        </w:rPr>
        <w:t xml:space="preserve">rejected all the defences raised by River View, including its reliance on ostensible authority and estoppel. According to the learned judge, since </w:t>
      </w:r>
      <w:r w:rsidR="007A4136" w:rsidRPr="00160333">
        <w:rPr>
          <w:rFonts w:ascii="Arial" w:hAnsi="Arial" w:cs="Arial"/>
          <w:sz w:val="24"/>
          <w:szCs w:val="24"/>
          <w:lang w:val="en-US"/>
        </w:rPr>
        <w:t xml:space="preserve">Mr </w:t>
      </w:r>
      <w:r w:rsidRPr="00160333">
        <w:rPr>
          <w:rFonts w:ascii="Arial" w:hAnsi="Arial" w:cs="Arial"/>
          <w:sz w:val="24"/>
          <w:szCs w:val="24"/>
          <w:lang w:val="en-US"/>
        </w:rPr>
        <w:t>Kashera l</w:t>
      </w:r>
      <w:r w:rsidR="007A4136" w:rsidRPr="00160333">
        <w:rPr>
          <w:rFonts w:ascii="Arial" w:hAnsi="Arial" w:cs="Arial"/>
          <w:sz w:val="24"/>
          <w:szCs w:val="24"/>
          <w:lang w:val="en-US"/>
        </w:rPr>
        <w:t>acked authority in concluding the deal with Mr Hausiku, there was non-</w:t>
      </w:r>
      <w:r w:rsidRPr="00160333">
        <w:rPr>
          <w:rFonts w:ascii="Arial" w:hAnsi="Arial" w:cs="Arial"/>
          <w:sz w:val="24"/>
          <w:szCs w:val="24"/>
          <w:lang w:val="en-US"/>
        </w:rPr>
        <w:t>compliance with s 1(1) of the Formalities in Respect of Contracts of sale of Land Act 70 of 1969 which provides:</w:t>
      </w:r>
    </w:p>
    <w:p w14:paraId="6FE64F32" w14:textId="77777777" w:rsidR="000E275F" w:rsidRPr="00160333" w:rsidRDefault="000E275F" w:rsidP="000E275F">
      <w:pPr>
        <w:pStyle w:val="NoSpacing"/>
        <w:spacing w:line="480" w:lineRule="auto"/>
        <w:jc w:val="both"/>
        <w:rPr>
          <w:rFonts w:ascii="Arial" w:hAnsi="Arial" w:cs="Arial"/>
          <w:sz w:val="24"/>
          <w:szCs w:val="24"/>
          <w:lang w:val="en-US"/>
        </w:rPr>
      </w:pPr>
    </w:p>
    <w:p w14:paraId="2C556BC0" w14:textId="072A0CFE" w:rsidR="00E60AAB" w:rsidRPr="00DA4A51" w:rsidRDefault="00836893" w:rsidP="007E16E4">
      <w:pPr>
        <w:spacing w:line="360" w:lineRule="auto"/>
        <w:ind w:left="720"/>
        <w:jc w:val="both"/>
        <w:rPr>
          <w:rFonts w:ascii="Arial" w:hAnsi="Arial" w:cs="Arial"/>
          <w:sz w:val="22"/>
          <w:szCs w:val="22"/>
          <w:lang w:val="en-US"/>
        </w:rPr>
      </w:pPr>
      <w:r>
        <w:rPr>
          <w:rFonts w:ascii="Arial" w:hAnsi="Arial" w:cs="Arial"/>
          <w:sz w:val="22"/>
          <w:szCs w:val="22"/>
          <w:lang w:val="en-US"/>
        </w:rPr>
        <w:lastRenderedPageBreak/>
        <w:t xml:space="preserve">‘No contract of sale of land . . .shall be of any force or effect . . . </w:t>
      </w:r>
      <w:r w:rsidR="00E60AAB" w:rsidRPr="00DA4A51">
        <w:rPr>
          <w:rFonts w:ascii="Arial" w:hAnsi="Arial" w:cs="Arial"/>
          <w:sz w:val="22"/>
          <w:szCs w:val="22"/>
          <w:lang w:val="en-US"/>
        </w:rPr>
        <w:t>unless it is reduced to writing and signed by the parties thereto or by their agents acting on their written authority.</w:t>
      </w:r>
      <w:r>
        <w:rPr>
          <w:rFonts w:ascii="Arial" w:hAnsi="Arial" w:cs="Arial"/>
          <w:sz w:val="22"/>
          <w:szCs w:val="22"/>
          <w:lang w:val="en-US"/>
        </w:rPr>
        <w:t>’</w:t>
      </w:r>
    </w:p>
    <w:p w14:paraId="641363C3" w14:textId="77777777" w:rsidR="00E60AAB" w:rsidRPr="00DA4A51" w:rsidRDefault="00E60AAB" w:rsidP="00F355DB">
      <w:pPr>
        <w:pStyle w:val="ListParagraph"/>
        <w:spacing w:line="480" w:lineRule="auto"/>
        <w:ind w:left="0"/>
        <w:jc w:val="both"/>
        <w:rPr>
          <w:rFonts w:ascii="Arial" w:hAnsi="Arial" w:cs="Arial"/>
          <w:lang w:val="en-US"/>
        </w:rPr>
      </w:pPr>
    </w:p>
    <w:p w14:paraId="0206BD26" w14:textId="73411E53" w:rsidR="00F44A5A" w:rsidRDefault="00E60AAB"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 xml:space="preserve">Having held that the real agreement was null and void the court </w:t>
      </w:r>
      <w:r w:rsidR="007A4136" w:rsidRPr="00160333">
        <w:rPr>
          <w:rFonts w:ascii="Arial" w:hAnsi="Arial" w:cs="Arial"/>
          <w:sz w:val="24"/>
          <w:szCs w:val="24"/>
          <w:lang w:val="en-US"/>
        </w:rPr>
        <w:t xml:space="preserve">(a) cancelled the deed of sale in terms of which River View took transfer from the DTA and (b) </w:t>
      </w:r>
      <w:r w:rsidRPr="00160333">
        <w:rPr>
          <w:rFonts w:ascii="Arial" w:hAnsi="Arial" w:cs="Arial"/>
          <w:sz w:val="24"/>
          <w:szCs w:val="24"/>
          <w:lang w:val="en-US"/>
        </w:rPr>
        <w:t>ordered re-transfer</w:t>
      </w:r>
      <w:r w:rsidR="00836893">
        <w:rPr>
          <w:rFonts w:ascii="Arial" w:hAnsi="Arial" w:cs="Arial"/>
          <w:sz w:val="24"/>
          <w:szCs w:val="24"/>
          <w:lang w:val="en-US"/>
        </w:rPr>
        <w:t xml:space="preserve"> of the property</w:t>
      </w:r>
      <w:r w:rsidRPr="00160333">
        <w:rPr>
          <w:rFonts w:ascii="Arial" w:hAnsi="Arial" w:cs="Arial"/>
          <w:sz w:val="24"/>
          <w:szCs w:val="24"/>
          <w:lang w:val="en-US"/>
        </w:rPr>
        <w:t xml:space="preserve"> into DTA’s name. That </w:t>
      </w:r>
      <w:r w:rsidR="000F23FD" w:rsidRPr="00160333">
        <w:rPr>
          <w:rFonts w:ascii="Arial" w:hAnsi="Arial" w:cs="Arial"/>
          <w:sz w:val="24"/>
          <w:szCs w:val="24"/>
          <w:lang w:val="en-US"/>
        </w:rPr>
        <w:t xml:space="preserve">finding of necessity required </w:t>
      </w:r>
      <w:r w:rsidR="00310C1F" w:rsidRPr="00160333">
        <w:rPr>
          <w:rFonts w:ascii="Arial" w:hAnsi="Arial" w:cs="Arial"/>
          <w:sz w:val="24"/>
          <w:szCs w:val="24"/>
          <w:lang w:val="en-US"/>
        </w:rPr>
        <w:t xml:space="preserve">the </w:t>
      </w:r>
      <w:r w:rsidR="000F23FD" w:rsidRPr="00160333">
        <w:rPr>
          <w:rFonts w:ascii="Arial" w:hAnsi="Arial" w:cs="Arial"/>
          <w:sz w:val="24"/>
          <w:szCs w:val="24"/>
          <w:lang w:val="en-US"/>
        </w:rPr>
        <w:t xml:space="preserve">court </w:t>
      </w:r>
      <w:r w:rsidR="000F23FD" w:rsidRPr="00F44A5A">
        <w:rPr>
          <w:rFonts w:ascii="Arial" w:hAnsi="Arial" w:cs="Arial"/>
          <w:i/>
          <w:sz w:val="24"/>
          <w:szCs w:val="24"/>
          <w:lang w:val="en-US"/>
        </w:rPr>
        <w:t>a quo</w:t>
      </w:r>
      <w:r w:rsidRPr="00160333">
        <w:rPr>
          <w:rFonts w:ascii="Arial" w:hAnsi="Arial" w:cs="Arial"/>
          <w:sz w:val="24"/>
          <w:szCs w:val="24"/>
          <w:lang w:val="en-US"/>
        </w:rPr>
        <w:t xml:space="preserve"> to dismiss River View’s counterclaim for the ejection of the DTA and the payment of rent for the occupation of the disputed land.</w:t>
      </w:r>
    </w:p>
    <w:p w14:paraId="21C268CA" w14:textId="77777777" w:rsidR="00F44A5A" w:rsidRDefault="00F44A5A" w:rsidP="00F44A5A">
      <w:pPr>
        <w:pStyle w:val="NoSpacing"/>
        <w:spacing w:line="480" w:lineRule="auto"/>
        <w:jc w:val="both"/>
        <w:rPr>
          <w:rFonts w:ascii="Arial" w:hAnsi="Arial" w:cs="Arial"/>
          <w:sz w:val="24"/>
          <w:szCs w:val="24"/>
          <w:lang w:val="en-US"/>
        </w:rPr>
      </w:pPr>
    </w:p>
    <w:p w14:paraId="438EDCAB" w14:textId="4FA80A6C" w:rsidR="00E60AAB" w:rsidRPr="00160333" w:rsidRDefault="00F44A5A" w:rsidP="00160333">
      <w:pPr>
        <w:pStyle w:val="NoSpacing"/>
        <w:numPr>
          <w:ilvl w:val="0"/>
          <w:numId w:val="7"/>
        </w:numPr>
        <w:spacing w:line="480" w:lineRule="auto"/>
        <w:ind w:left="0" w:firstLine="0"/>
        <w:jc w:val="both"/>
        <w:rPr>
          <w:rFonts w:ascii="Arial" w:hAnsi="Arial" w:cs="Arial"/>
          <w:sz w:val="24"/>
          <w:szCs w:val="24"/>
          <w:lang w:val="en-US"/>
        </w:rPr>
      </w:pPr>
      <w:r>
        <w:rPr>
          <w:rFonts w:ascii="Arial" w:hAnsi="Arial" w:cs="Arial"/>
          <w:sz w:val="24"/>
          <w:szCs w:val="24"/>
          <w:lang w:val="en-US"/>
        </w:rPr>
        <w:t xml:space="preserve">On account of the </w:t>
      </w:r>
      <w:r w:rsidR="007A4136" w:rsidRPr="00160333">
        <w:rPr>
          <w:rFonts w:ascii="Arial" w:hAnsi="Arial" w:cs="Arial"/>
          <w:sz w:val="24"/>
          <w:szCs w:val="24"/>
          <w:lang w:val="en-US"/>
        </w:rPr>
        <w:t xml:space="preserve">admitted fraud perpetrated on the Revenue authorities, the </w:t>
      </w:r>
      <w:r>
        <w:rPr>
          <w:rFonts w:ascii="Arial" w:hAnsi="Arial" w:cs="Arial"/>
          <w:sz w:val="24"/>
          <w:szCs w:val="24"/>
          <w:lang w:val="en-US"/>
        </w:rPr>
        <w:t xml:space="preserve">learned judge took the view </w:t>
      </w:r>
      <w:r w:rsidR="009F73E0" w:rsidRPr="00160333">
        <w:rPr>
          <w:rFonts w:ascii="Arial" w:hAnsi="Arial" w:cs="Arial"/>
          <w:sz w:val="24"/>
          <w:szCs w:val="24"/>
          <w:lang w:val="en-US"/>
        </w:rPr>
        <w:t xml:space="preserve">that the conduct by Mr Hausiku and Mr </w:t>
      </w:r>
      <w:r w:rsidR="003C7865" w:rsidRPr="00160333">
        <w:rPr>
          <w:rFonts w:ascii="Arial" w:hAnsi="Arial" w:cs="Arial"/>
          <w:sz w:val="24"/>
          <w:szCs w:val="24"/>
          <w:lang w:val="en-US"/>
        </w:rPr>
        <w:t>Kashera</w:t>
      </w:r>
      <w:r w:rsidR="009F73E0" w:rsidRPr="00160333">
        <w:rPr>
          <w:rFonts w:ascii="Arial" w:hAnsi="Arial" w:cs="Arial"/>
          <w:sz w:val="24"/>
          <w:szCs w:val="24"/>
          <w:lang w:val="en-US"/>
        </w:rPr>
        <w:t xml:space="preserve"> merits investigation by the </w:t>
      </w:r>
      <w:r w:rsidR="00310C1F" w:rsidRPr="00160333">
        <w:rPr>
          <w:rFonts w:ascii="Arial" w:hAnsi="Arial" w:cs="Arial"/>
          <w:sz w:val="24"/>
          <w:szCs w:val="24"/>
          <w:lang w:val="en-US"/>
        </w:rPr>
        <w:t>permanent secretary of the ministry of f</w:t>
      </w:r>
      <w:r w:rsidR="009F73E0" w:rsidRPr="00160333">
        <w:rPr>
          <w:rFonts w:ascii="Arial" w:hAnsi="Arial" w:cs="Arial"/>
          <w:sz w:val="24"/>
          <w:szCs w:val="24"/>
          <w:lang w:val="en-US"/>
        </w:rPr>
        <w:t>inance, in his or her capacity as the person responsible for the administration of the Transfer Duty Act</w:t>
      </w:r>
      <w:r w:rsidR="003C28F1">
        <w:rPr>
          <w:rFonts w:ascii="Arial" w:hAnsi="Arial" w:cs="Arial"/>
          <w:sz w:val="24"/>
          <w:szCs w:val="24"/>
          <w:lang w:val="en-US"/>
        </w:rPr>
        <w:t xml:space="preserve"> 14 of 1993</w:t>
      </w:r>
      <w:r w:rsidR="009F73E0" w:rsidRPr="00160333">
        <w:rPr>
          <w:rFonts w:ascii="Arial" w:hAnsi="Arial" w:cs="Arial"/>
          <w:sz w:val="24"/>
          <w:szCs w:val="24"/>
          <w:vertAlign w:val="superscript"/>
          <w:lang w:val="en-US"/>
        </w:rPr>
        <w:footnoteReference w:id="3"/>
      </w:r>
      <w:r w:rsidR="00310C1F" w:rsidRPr="00160333">
        <w:rPr>
          <w:rFonts w:ascii="Arial" w:hAnsi="Arial" w:cs="Arial"/>
          <w:sz w:val="24"/>
          <w:szCs w:val="24"/>
          <w:lang w:val="en-US"/>
        </w:rPr>
        <w:t>;</w:t>
      </w:r>
      <w:r w:rsidR="009F73E0" w:rsidRPr="00160333">
        <w:rPr>
          <w:rFonts w:ascii="Arial" w:hAnsi="Arial" w:cs="Arial"/>
          <w:sz w:val="24"/>
          <w:szCs w:val="24"/>
          <w:lang w:val="en-US"/>
        </w:rPr>
        <w:t xml:space="preserve"> to con</w:t>
      </w:r>
      <w:r w:rsidR="002F69E7" w:rsidRPr="00160333">
        <w:rPr>
          <w:rFonts w:ascii="Arial" w:hAnsi="Arial" w:cs="Arial"/>
          <w:sz w:val="24"/>
          <w:szCs w:val="24"/>
          <w:lang w:val="en-US"/>
        </w:rPr>
        <w:t>sider whether Mr Hausiku and</w:t>
      </w:r>
      <w:r w:rsidR="009F73E0" w:rsidRPr="00160333">
        <w:rPr>
          <w:rFonts w:ascii="Arial" w:hAnsi="Arial" w:cs="Arial"/>
          <w:sz w:val="24"/>
          <w:szCs w:val="24"/>
          <w:lang w:val="en-US"/>
        </w:rPr>
        <w:t xml:space="preserve"> </w:t>
      </w:r>
      <w:r w:rsidR="002F69E7" w:rsidRPr="00160333">
        <w:rPr>
          <w:rFonts w:ascii="Arial" w:hAnsi="Arial" w:cs="Arial"/>
          <w:sz w:val="24"/>
          <w:szCs w:val="24"/>
          <w:lang w:val="en-US"/>
        </w:rPr>
        <w:t xml:space="preserve">Mr Kashera </w:t>
      </w:r>
      <w:r w:rsidR="009F73E0" w:rsidRPr="00160333">
        <w:rPr>
          <w:rFonts w:ascii="Arial" w:hAnsi="Arial" w:cs="Arial"/>
          <w:sz w:val="24"/>
          <w:szCs w:val="24"/>
          <w:lang w:val="en-US"/>
        </w:rPr>
        <w:t xml:space="preserve">knowingly made false declarations in the manner contemplated </w:t>
      </w:r>
      <w:r w:rsidR="003C28F1">
        <w:rPr>
          <w:rFonts w:ascii="Arial" w:hAnsi="Arial" w:cs="Arial"/>
          <w:sz w:val="24"/>
          <w:szCs w:val="24"/>
          <w:lang w:val="en-US"/>
        </w:rPr>
        <w:t>by</w:t>
      </w:r>
      <w:r w:rsidR="009F73E0" w:rsidRPr="00160333">
        <w:rPr>
          <w:rFonts w:ascii="Arial" w:hAnsi="Arial" w:cs="Arial"/>
          <w:sz w:val="24"/>
          <w:szCs w:val="24"/>
          <w:lang w:val="en-US"/>
        </w:rPr>
        <w:t xml:space="preserve"> s</w:t>
      </w:r>
      <w:r w:rsidR="003C28F1">
        <w:rPr>
          <w:rFonts w:ascii="Arial" w:hAnsi="Arial" w:cs="Arial"/>
          <w:sz w:val="24"/>
          <w:szCs w:val="24"/>
          <w:lang w:val="en-US"/>
        </w:rPr>
        <w:t>s</w:t>
      </w:r>
      <w:r w:rsidR="009F73E0" w:rsidRPr="00160333">
        <w:rPr>
          <w:rFonts w:ascii="Arial" w:hAnsi="Arial" w:cs="Arial"/>
          <w:sz w:val="24"/>
          <w:szCs w:val="24"/>
          <w:lang w:val="en-US"/>
        </w:rPr>
        <w:t xml:space="preserve"> 14 and 17 of th</w:t>
      </w:r>
      <w:r w:rsidR="003C28F1">
        <w:rPr>
          <w:rFonts w:ascii="Arial" w:hAnsi="Arial" w:cs="Arial"/>
          <w:sz w:val="24"/>
          <w:szCs w:val="24"/>
          <w:lang w:val="en-US"/>
        </w:rPr>
        <w:t>at</w:t>
      </w:r>
      <w:r w:rsidR="003C7865" w:rsidRPr="00160333">
        <w:rPr>
          <w:rFonts w:ascii="Arial" w:hAnsi="Arial" w:cs="Arial"/>
          <w:sz w:val="24"/>
          <w:szCs w:val="24"/>
          <w:lang w:val="en-US"/>
        </w:rPr>
        <w:t xml:space="preserve"> Act</w:t>
      </w:r>
      <w:r w:rsidR="003C28F1">
        <w:rPr>
          <w:rFonts w:ascii="Arial" w:hAnsi="Arial" w:cs="Arial"/>
          <w:sz w:val="24"/>
          <w:szCs w:val="24"/>
          <w:lang w:val="en-US"/>
        </w:rPr>
        <w:t>.</w:t>
      </w:r>
      <w:r w:rsidR="003C7865" w:rsidRPr="00160333">
        <w:rPr>
          <w:rFonts w:ascii="Arial" w:hAnsi="Arial" w:cs="Arial"/>
          <w:sz w:val="24"/>
          <w:szCs w:val="24"/>
          <w:lang w:val="en-US"/>
        </w:rPr>
        <w:t xml:space="preserve"> </w:t>
      </w:r>
      <w:r w:rsidR="00310C1F" w:rsidRPr="00160333">
        <w:rPr>
          <w:rFonts w:ascii="Arial" w:hAnsi="Arial" w:cs="Arial"/>
          <w:sz w:val="24"/>
          <w:szCs w:val="24"/>
          <w:lang w:val="en-US"/>
        </w:rPr>
        <w:t xml:space="preserve">The High Court </w:t>
      </w:r>
      <w:r w:rsidR="003C7865" w:rsidRPr="00160333">
        <w:rPr>
          <w:rFonts w:ascii="Arial" w:hAnsi="Arial" w:cs="Arial"/>
          <w:sz w:val="24"/>
          <w:szCs w:val="24"/>
          <w:lang w:val="en-US"/>
        </w:rPr>
        <w:t>further</w:t>
      </w:r>
      <w:r w:rsidR="007A4136" w:rsidRPr="00160333">
        <w:rPr>
          <w:rFonts w:ascii="Arial" w:hAnsi="Arial" w:cs="Arial"/>
          <w:sz w:val="24"/>
          <w:szCs w:val="24"/>
          <w:lang w:val="en-US"/>
        </w:rPr>
        <w:t xml:space="preserve"> directed the Registrar of the High Court to deliver a copy of the judgment to the </w:t>
      </w:r>
      <w:r w:rsidR="003C28F1">
        <w:rPr>
          <w:rFonts w:ascii="Arial" w:hAnsi="Arial" w:cs="Arial"/>
          <w:sz w:val="24"/>
          <w:szCs w:val="24"/>
          <w:lang w:val="en-US"/>
        </w:rPr>
        <w:t xml:space="preserve">said </w:t>
      </w:r>
      <w:r w:rsidR="007A4136" w:rsidRPr="00160333">
        <w:rPr>
          <w:rFonts w:ascii="Arial" w:hAnsi="Arial" w:cs="Arial"/>
          <w:sz w:val="24"/>
          <w:szCs w:val="24"/>
          <w:lang w:val="en-US"/>
        </w:rPr>
        <w:t>permanent secretary</w:t>
      </w:r>
      <w:r w:rsidR="003C28F1">
        <w:rPr>
          <w:rFonts w:ascii="Arial" w:hAnsi="Arial" w:cs="Arial"/>
          <w:sz w:val="24"/>
          <w:szCs w:val="24"/>
          <w:lang w:val="en-US"/>
        </w:rPr>
        <w:t>.</w:t>
      </w:r>
    </w:p>
    <w:p w14:paraId="5AB4741F" w14:textId="77777777" w:rsidR="00E60AAB" w:rsidRPr="00DA4A51" w:rsidRDefault="00E60AAB" w:rsidP="00F355DB">
      <w:pPr>
        <w:spacing w:line="480" w:lineRule="auto"/>
        <w:jc w:val="both"/>
        <w:rPr>
          <w:rFonts w:ascii="Arial" w:hAnsi="Arial" w:cs="Arial"/>
          <w:lang w:val="en-US"/>
        </w:rPr>
      </w:pPr>
    </w:p>
    <w:p w14:paraId="57D7A798" w14:textId="04BB4798" w:rsidR="00E60AAB" w:rsidRPr="00160333" w:rsidRDefault="00E60AAB"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 xml:space="preserve">The High Court did not make any order of restitution </w:t>
      </w:r>
      <w:r w:rsidR="001C29EE">
        <w:rPr>
          <w:rFonts w:ascii="Arial" w:hAnsi="Arial" w:cs="Arial"/>
          <w:sz w:val="24"/>
          <w:szCs w:val="24"/>
          <w:lang w:val="en-US"/>
        </w:rPr>
        <w:t xml:space="preserve">in favour of River View </w:t>
      </w:r>
      <w:r w:rsidRPr="00160333">
        <w:rPr>
          <w:rFonts w:ascii="Arial" w:hAnsi="Arial" w:cs="Arial"/>
          <w:sz w:val="24"/>
          <w:szCs w:val="24"/>
          <w:lang w:val="en-US"/>
        </w:rPr>
        <w:t xml:space="preserve">by DTA for the payments made to and on its behalf: that is the payment of the transfer duty costs, </w:t>
      </w:r>
      <w:r w:rsidR="002F69E7" w:rsidRPr="00160333">
        <w:rPr>
          <w:rFonts w:ascii="Arial" w:hAnsi="Arial" w:cs="Arial"/>
          <w:sz w:val="24"/>
          <w:szCs w:val="24"/>
          <w:lang w:val="en-US"/>
        </w:rPr>
        <w:t xml:space="preserve">rates and taxes </w:t>
      </w:r>
      <w:r w:rsidRPr="00160333">
        <w:rPr>
          <w:rFonts w:ascii="Arial" w:hAnsi="Arial" w:cs="Arial"/>
          <w:sz w:val="24"/>
          <w:szCs w:val="24"/>
          <w:lang w:val="en-US"/>
        </w:rPr>
        <w:t>pa</w:t>
      </w:r>
      <w:r w:rsidR="00310C1F" w:rsidRPr="00160333">
        <w:rPr>
          <w:rFonts w:ascii="Arial" w:hAnsi="Arial" w:cs="Arial"/>
          <w:sz w:val="24"/>
          <w:szCs w:val="24"/>
          <w:lang w:val="en-US"/>
        </w:rPr>
        <w:t>id</w:t>
      </w:r>
      <w:r w:rsidRPr="00160333">
        <w:rPr>
          <w:rFonts w:ascii="Arial" w:hAnsi="Arial" w:cs="Arial"/>
          <w:sz w:val="24"/>
          <w:szCs w:val="24"/>
          <w:lang w:val="en-US"/>
        </w:rPr>
        <w:t xml:space="preserve"> to RTC and the purchase consideration for the transfer of the disputed land into River View’s name.</w:t>
      </w:r>
    </w:p>
    <w:p w14:paraId="0745665D" w14:textId="77777777" w:rsidR="00E60AAB" w:rsidRDefault="00E60AAB" w:rsidP="00F355DB">
      <w:pPr>
        <w:pStyle w:val="ListParagraph"/>
        <w:spacing w:line="480" w:lineRule="auto"/>
        <w:ind w:left="0"/>
        <w:jc w:val="both"/>
        <w:rPr>
          <w:rFonts w:ascii="Arial" w:hAnsi="Arial" w:cs="Arial"/>
          <w:u w:val="single"/>
          <w:lang w:val="en-US"/>
        </w:rPr>
      </w:pPr>
    </w:p>
    <w:p w14:paraId="349BE854" w14:textId="77777777" w:rsidR="00836893" w:rsidRPr="00160333" w:rsidRDefault="00836893" w:rsidP="00F355DB">
      <w:pPr>
        <w:pStyle w:val="ListParagraph"/>
        <w:spacing w:line="480" w:lineRule="auto"/>
        <w:ind w:left="0"/>
        <w:jc w:val="both"/>
        <w:rPr>
          <w:rFonts w:ascii="Arial" w:hAnsi="Arial" w:cs="Arial"/>
          <w:u w:val="single"/>
          <w:lang w:val="en-US"/>
        </w:rPr>
      </w:pPr>
    </w:p>
    <w:p w14:paraId="07F26711" w14:textId="1DBC42EE" w:rsidR="00E60AAB" w:rsidRPr="00160333" w:rsidRDefault="00E60AAB" w:rsidP="00F355DB">
      <w:pPr>
        <w:pStyle w:val="ListParagraph"/>
        <w:spacing w:line="480" w:lineRule="auto"/>
        <w:ind w:left="0"/>
        <w:jc w:val="both"/>
        <w:rPr>
          <w:rFonts w:ascii="Arial" w:hAnsi="Arial" w:cs="Arial"/>
          <w:u w:val="single"/>
          <w:lang w:val="en-US"/>
        </w:rPr>
      </w:pPr>
      <w:r w:rsidRPr="00160333">
        <w:rPr>
          <w:rFonts w:ascii="Arial" w:hAnsi="Arial" w:cs="Arial"/>
          <w:u w:val="single"/>
          <w:lang w:val="en-US"/>
        </w:rPr>
        <w:lastRenderedPageBreak/>
        <w:t>Grounds of appeal</w:t>
      </w:r>
    </w:p>
    <w:p w14:paraId="56E885F7" w14:textId="2E697A38" w:rsidR="00E60AAB" w:rsidRPr="00160333" w:rsidRDefault="00196D7C"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 xml:space="preserve">River View challenges the whole of the judgment and order of the High Court. </w:t>
      </w:r>
      <w:r w:rsidR="00806B97">
        <w:rPr>
          <w:rFonts w:ascii="Arial" w:hAnsi="Arial" w:cs="Arial"/>
          <w:sz w:val="24"/>
          <w:szCs w:val="24"/>
          <w:lang w:val="en-US"/>
        </w:rPr>
        <w:t>In particular, it</w:t>
      </w:r>
      <w:r w:rsidRPr="00160333">
        <w:rPr>
          <w:rFonts w:ascii="Arial" w:hAnsi="Arial" w:cs="Arial"/>
          <w:sz w:val="24"/>
          <w:szCs w:val="24"/>
          <w:lang w:val="en-US"/>
        </w:rPr>
        <w:t xml:space="preserve"> impugns the order of the High Court for the alleged misdirection in its application of:</w:t>
      </w:r>
    </w:p>
    <w:p w14:paraId="31683397" w14:textId="77777777" w:rsidR="00E60AAB" w:rsidRPr="00DA4A51" w:rsidRDefault="00E60AAB" w:rsidP="00F355DB">
      <w:pPr>
        <w:numPr>
          <w:ilvl w:val="0"/>
          <w:numId w:val="6"/>
        </w:numPr>
        <w:spacing w:line="480" w:lineRule="auto"/>
        <w:jc w:val="both"/>
        <w:rPr>
          <w:rFonts w:ascii="Arial" w:hAnsi="Arial" w:cs="Arial"/>
          <w:lang w:val="en-US"/>
        </w:rPr>
      </w:pPr>
      <w:r>
        <w:rPr>
          <w:rFonts w:ascii="Arial" w:hAnsi="Arial" w:cs="Arial"/>
          <w:lang w:val="en-US"/>
        </w:rPr>
        <w:t xml:space="preserve">the </w:t>
      </w:r>
      <w:r w:rsidRPr="00196D7C">
        <w:rPr>
          <w:rFonts w:ascii="Arial" w:hAnsi="Arial" w:cs="Arial"/>
          <w:i/>
          <w:lang w:val="en-US"/>
        </w:rPr>
        <w:t>Turquand</w:t>
      </w:r>
      <w:r w:rsidRPr="00DA4A51">
        <w:rPr>
          <w:rFonts w:ascii="Arial" w:hAnsi="Arial" w:cs="Arial"/>
          <w:lang w:val="en-US"/>
        </w:rPr>
        <w:t xml:space="preserve"> rule;</w:t>
      </w:r>
    </w:p>
    <w:p w14:paraId="0590000D" w14:textId="77777777" w:rsidR="00E60AAB" w:rsidRPr="00DA4A51" w:rsidRDefault="00E60AAB" w:rsidP="00F355DB">
      <w:pPr>
        <w:numPr>
          <w:ilvl w:val="0"/>
          <w:numId w:val="6"/>
        </w:numPr>
        <w:spacing w:line="480" w:lineRule="auto"/>
        <w:jc w:val="both"/>
        <w:rPr>
          <w:rFonts w:ascii="Arial" w:hAnsi="Arial" w:cs="Arial"/>
          <w:lang w:val="en-US"/>
        </w:rPr>
      </w:pPr>
      <w:r w:rsidRPr="00DA4A51">
        <w:rPr>
          <w:rFonts w:ascii="Arial" w:hAnsi="Arial" w:cs="Arial"/>
          <w:lang w:val="en-US"/>
        </w:rPr>
        <w:t>ostensible authority;</w:t>
      </w:r>
    </w:p>
    <w:p w14:paraId="68776F9D" w14:textId="6DFC3717" w:rsidR="00E60AAB" w:rsidRPr="00DA4A51" w:rsidRDefault="00806B97" w:rsidP="00F355DB">
      <w:pPr>
        <w:numPr>
          <w:ilvl w:val="0"/>
          <w:numId w:val="6"/>
        </w:numPr>
        <w:spacing w:line="480" w:lineRule="auto"/>
        <w:jc w:val="both"/>
        <w:rPr>
          <w:rFonts w:ascii="Arial" w:hAnsi="Arial" w:cs="Arial"/>
          <w:lang w:val="en-US"/>
        </w:rPr>
      </w:pPr>
      <w:r w:rsidRPr="00806B97">
        <w:rPr>
          <w:rFonts w:ascii="Arial" w:hAnsi="Arial" w:cs="Arial"/>
          <w:i/>
          <w:iCs/>
          <w:lang w:val="en-US"/>
        </w:rPr>
        <w:t>restitutio</w:t>
      </w:r>
      <w:r w:rsidR="00196D7C" w:rsidRPr="00806B97">
        <w:rPr>
          <w:rFonts w:ascii="Arial" w:hAnsi="Arial" w:cs="Arial"/>
          <w:i/>
          <w:iCs/>
          <w:lang w:val="en-US"/>
        </w:rPr>
        <w:t xml:space="preserve"> in inte</w:t>
      </w:r>
      <w:r w:rsidR="00E60AAB" w:rsidRPr="00806B97">
        <w:rPr>
          <w:rFonts w:ascii="Arial" w:hAnsi="Arial" w:cs="Arial"/>
          <w:i/>
          <w:iCs/>
          <w:lang w:val="en-US"/>
        </w:rPr>
        <w:t>grum</w:t>
      </w:r>
      <w:r w:rsidR="00E60AAB" w:rsidRPr="00DA4A51">
        <w:rPr>
          <w:rFonts w:ascii="Arial" w:hAnsi="Arial" w:cs="Arial"/>
          <w:lang w:val="en-US"/>
        </w:rPr>
        <w:t>;</w:t>
      </w:r>
    </w:p>
    <w:p w14:paraId="67466605" w14:textId="50450A85" w:rsidR="00E60AAB" w:rsidRPr="00196D7C" w:rsidRDefault="00D46C4C" w:rsidP="00F355DB">
      <w:pPr>
        <w:numPr>
          <w:ilvl w:val="0"/>
          <w:numId w:val="6"/>
        </w:numPr>
        <w:spacing w:line="480" w:lineRule="auto"/>
        <w:jc w:val="both"/>
        <w:rPr>
          <w:rFonts w:ascii="Arial" w:hAnsi="Arial" w:cs="Arial"/>
          <w:lang w:val="en-US"/>
        </w:rPr>
      </w:pPr>
      <w:r>
        <w:rPr>
          <w:rFonts w:ascii="Arial" w:hAnsi="Arial" w:cs="Arial"/>
          <w:lang w:val="en-US"/>
        </w:rPr>
        <w:t>Non-divisibility</w:t>
      </w:r>
      <w:r w:rsidR="00806B97">
        <w:rPr>
          <w:rFonts w:ascii="Arial" w:hAnsi="Arial" w:cs="Arial"/>
          <w:lang w:val="en-US"/>
        </w:rPr>
        <w:t xml:space="preserve"> (</w:t>
      </w:r>
      <w:r w:rsidR="00E60AAB" w:rsidRPr="00DA4A51">
        <w:rPr>
          <w:rFonts w:ascii="Arial" w:hAnsi="Arial" w:cs="Arial"/>
          <w:lang w:val="en-US"/>
        </w:rPr>
        <w:t>sever</w:t>
      </w:r>
      <w:r w:rsidR="00196D7C">
        <w:rPr>
          <w:rFonts w:ascii="Arial" w:hAnsi="Arial" w:cs="Arial"/>
          <w:lang w:val="en-US"/>
        </w:rPr>
        <w:t>ability</w:t>
      </w:r>
      <w:r w:rsidR="00806B97">
        <w:rPr>
          <w:rFonts w:ascii="Arial" w:hAnsi="Arial" w:cs="Arial"/>
          <w:lang w:val="en-US"/>
        </w:rPr>
        <w:t>)</w:t>
      </w:r>
      <w:r w:rsidR="00E60AAB" w:rsidRPr="00DA4A51">
        <w:rPr>
          <w:rFonts w:ascii="Arial" w:hAnsi="Arial" w:cs="Arial"/>
          <w:lang w:val="en-US"/>
        </w:rPr>
        <w:t xml:space="preserve"> of </w:t>
      </w:r>
      <w:r w:rsidR="00806B97">
        <w:rPr>
          <w:rFonts w:ascii="Arial" w:hAnsi="Arial" w:cs="Arial"/>
          <w:lang w:val="en-US"/>
        </w:rPr>
        <w:t xml:space="preserve">the two-way </w:t>
      </w:r>
      <w:r w:rsidR="00E60AAB" w:rsidRPr="00DA4A51">
        <w:rPr>
          <w:rFonts w:ascii="Arial" w:hAnsi="Arial" w:cs="Arial"/>
          <w:lang w:val="en-US"/>
        </w:rPr>
        <w:t>contracts.</w:t>
      </w:r>
    </w:p>
    <w:p w14:paraId="3ACAE50E" w14:textId="77777777" w:rsidR="002F69E7" w:rsidRDefault="002F69E7" w:rsidP="00F355DB">
      <w:pPr>
        <w:spacing w:line="480" w:lineRule="auto"/>
        <w:jc w:val="both"/>
        <w:rPr>
          <w:rFonts w:ascii="Arial" w:hAnsi="Arial" w:cs="Arial"/>
          <w:lang w:val="en-US"/>
        </w:rPr>
      </w:pPr>
    </w:p>
    <w:p w14:paraId="12C4BA3E" w14:textId="5C2CB2BC" w:rsidR="00E60AAB" w:rsidRPr="00160333" w:rsidRDefault="007A4136"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T</w:t>
      </w:r>
      <w:r w:rsidR="00E60AAB" w:rsidRPr="00160333">
        <w:rPr>
          <w:rFonts w:ascii="Arial" w:hAnsi="Arial" w:cs="Arial"/>
          <w:sz w:val="24"/>
          <w:szCs w:val="24"/>
          <w:lang w:val="en-US"/>
        </w:rPr>
        <w:t xml:space="preserve">he </w:t>
      </w:r>
      <w:r w:rsidR="00196D7C" w:rsidRPr="00160333">
        <w:rPr>
          <w:rFonts w:ascii="Arial" w:hAnsi="Arial" w:cs="Arial"/>
          <w:sz w:val="24"/>
          <w:szCs w:val="24"/>
          <w:lang w:val="en-US"/>
        </w:rPr>
        <w:t xml:space="preserve">grounds of appeal also assert that </w:t>
      </w:r>
      <w:r w:rsidR="00836893">
        <w:rPr>
          <w:rFonts w:ascii="Arial" w:hAnsi="Arial" w:cs="Arial"/>
          <w:sz w:val="24"/>
          <w:szCs w:val="24"/>
          <w:lang w:val="en-US"/>
        </w:rPr>
        <w:t xml:space="preserve">the </w:t>
      </w:r>
      <w:r w:rsidRPr="00160333">
        <w:rPr>
          <w:rFonts w:ascii="Arial" w:hAnsi="Arial" w:cs="Arial"/>
          <w:sz w:val="24"/>
          <w:szCs w:val="24"/>
          <w:lang w:val="en-US"/>
        </w:rPr>
        <w:t xml:space="preserve">High Court </w:t>
      </w:r>
      <w:r w:rsidR="00E60AAB" w:rsidRPr="00160333">
        <w:rPr>
          <w:rFonts w:ascii="Arial" w:hAnsi="Arial" w:cs="Arial"/>
          <w:sz w:val="24"/>
          <w:szCs w:val="24"/>
          <w:lang w:val="en-US"/>
        </w:rPr>
        <w:t xml:space="preserve">erred in not granting </w:t>
      </w:r>
      <w:r w:rsidR="00196D7C" w:rsidRPr="00160333">
        <w:rPr>
          <w:rFonts w:ascii="Arial" w:hAnsi="Arial" w:cs="Arial"/>
          <w:sz w:val="24"/>
          <w:szCs w:val="24"/>
          <w:lang w:val="en-US"/>
        </w:rPr>
        <w:t xml:space="preserve">River View’s </w:t>
      </w:r>
      <w:r w:rsidR="00E60AAB" w:rsidRPr="00160333">
        <w:rPr>
          <w:rFonts w:ascii="Arial" w:hAnsi="Arial" w:cs="Arial"/>
          <w:sz w:val="24"/>
          <w:szCs w:val="24"/>
          <w:lang w:val="en-US"/>
        </w:rPr>
        <w:t>counter claim.</w:t>
      </w:r>
    </w:p>
    <w:p w14:paraId="035C5670" w14:textId="77777777" w:rsidR="00310C1F" w:rsidRDefault="00310C1F" w:rsidP="00F355DB">
      <w:pPr>
        <w:pStyle w:val="ListParagraph"/>
        <w:spacing w:line="480" w:lineRule="auto"/>
        <w:ind w:left="0"/>
        <w:jc w:val="both"/>
        <w:rPr>
          <w:rFonts w:ascii="Arial" w:hAnsi="Arial" w:cs="Arial"/>
          <w:u w:val="single"/>
          <w:lang w:val="en-US"/>
        </w:rPr>
      </w:pPr>
    </w:p>
    <w:p w14:paraId="5044FB25" w14:textId="77777777" w:rsidR="00C44711" w:rsidRPr="00ED541E" w:rsidRDefault="00C44711" w:rsidP="00F355DB">
      <w:pPr>
        <w:pStyle w:val="ListParagraph"/>
        <w:spacing w:line="480" w:lineRule="auto"/>
        <w:ind w:left="0"/>
        <w:jc w:val="both"/>
        <w:rPr>
          <w:rFonts w:ascii="Arial" w:hAnsi="Arial" w:cs="Arial"/>
          <w:u w:val="single"/>
          <w:lang w:val="en-US"/>
        </w:rPr>
      </w:pPr>
      <w:r>
        <w:rPr>
          <w:rFonts w:ascii="Arial" w:hAnsi="Arial" w:cs="Arial"/>
          <w:u w:val="single"/>
          <w:lang w:val="en-US"/>
        </w:rPr>
        <w:t>S</w:t>
      </w:r>
      <w:r w:rsidRPr="00ED541E">
        <w:rPr>
          <w:rFonts w:ascii="Arial" w:hAnsi="Arial" w:cs="Arial"/>
          <w:u w:val="single"/>
          <w:lang w:val="en-US"/>
        </w:rPr>
        <w:t>ubmissions on appeal</w:t>
      </w:r>
    </w:p>
    <w:p w14:paraId="016391E3" w14:textId="77777777" w:rsidR="00C44711" w:rsidRPr="00F07B47" w:rsidRDefault="00C44711" w:rsidP="00F355DB">
      <w:pPr>
        <w:pStyle w:val="ListParagraph"/>
        <w:spacing w:line="480" w:lineRule="auto"/>
        <w:ind w:left="0"/>
        <w:jc w:val="both"/>
        <w:rPr>
          <w:rFonts w:ascii="Arial" w:hAnsi="Arial" w:cs="Arial"/>
          <w:i/>
          <w:iCs/>
          <w:lang w:val="en-US"/>
        </w:rPr>
      </w:pPr>
      <w:r w:rsidRPr="00F07B47">
        <w:rPr>
          <w:rFonts w:ascii="Arial" w:hAnsi="Arial" w:cs="Arial"/>
          <w:i/>
          <w:iCs/>
          <w:lang w:val="en-US"/>
        </w:rPr>
        <w:t>River View</w:t>
      </w:r>
    </w:p>
    <w:p w14:paraId="6DE635E2" w14:textId="105418A4" w:rsidR="00C44711" w:rsidRPr="00160333" w:rsidRDefault="00810BC0" w:rsidP="00160333">
      <w:pPr>
        <w:pStyle w:val="NoSpacing"/>
        <w:numPr>
          <w:ilvl w:val="0"/>
          <w:numId w:val="7"/>
        </w:numPr>
        <w:spacing w:line="480" w:lineRule="auto"/>
        <w:ind w:left="0" w:firstLine="0"/>
        <w:jc w:val="both"/>
        <w:rPr>
          <w:rFonts w:ascii="Arial" w:hAnsi="Arial" w:cs="Arial"/>
          <w:iCs/>
          <w:sz w:val="24"/>
          <w:szCs w:val="24"/>
          <w:lang w:val="en-US"/>
        </w:rPr>
      </w:pPr>
      <w:r>
        <w:rPr>
          <w:rFonts w:ascii="Arial" w:hAnsi="Arial" w:cs="Arial"/>
          <w:iCs/>
          <w:sz w:val="24"/>
          <w:szCs w:val="24"/>
          <w:lang w:val="en-US"/>
        </w:rPr>
        <w:t>At the hearing of the appeal</w:t>
      </w:r>
      <w:r w:rsidR="00C44711" w:rsidRPr="00160333">
        <w:rPr>
          <w:rFonts w:ascii="Arial" w:hAnsi="Arial" w:cs="Arial"/>
          <w:iCs/>
          <w:sz w:val="24"/>
          <w:szCs w:val="24"/>
          <w:lang w:val="en-US"/>
        </w:rPr>
        <w:t xml:space="preserve">, Mr Heathcote for River View accepted that estoppel was not the appellant’s strongest argument and that instead reliance is placed on the doctrine of ostensible authority and the </w:t>
      </w:r>
      <w:r w:rsidR="00C44711" w:rsidRPr="00160333">
        <w:rPr>
          <w:rFonts w:ascii="Arial" w:hAnsi="Arial" w:cs="Arial"/>
          <w:i/>
          <w:iCs/>
          <w:sz w:val="24"/>
          <w:szCs w:val="24"/>
          <w:lang w:val="en-US"/>
        </w:rPr>
        <w:t xml:space="preserve">Turquand </w:t>
      </w:r>
      <w:r w:rsidR="00C44711" w:rsidRPr="00160333">
        <w:rPr>
          <w:rFonts w:ascii="Arial" w:hAnsi="Arial" w:cs="Arial"/>
          <w:iCs/>
          <w:sz w:val="24"/>
          <w:szCs w:val="24"/>
          <w:lang w:val="en-US"/>
        </w:rPr>
        <w:t xml:space="preserve">rule. </w:t>
      </w:r>
      <w:r w:rsidR="00C44711" w:rsidRPr="00160333">
        <w:rPr>
          <w:rFonts w:ascii="Arial" w:hAnsi="Arial" w:cs="Arial"/>
          <w:sz w:val="24"/>
          <w:szCs w:val="24"/>
          <w:lang w:val="en-US"/>
        </w:rPr>
        <w:t xml:space="preserve">According to </w:t>
      </w:r>
      <w:r w:rsidR="00FF3C93">
        <w:rPr>
          <w:rFonts w:ascii="Arial" w:hAnsi="Arial" w:cs="Arial"/>
          <w:sz w:val="24"/>
          <w:szCs w:val="24"/>
          <w:lang w:val="en-US"/>
        </w:rPr>
        <w:br/>
      </w:r>
      <w:r w:rsidR="00C44711" w:rsidRPr="00160333">
        <w:rPr>
          <w:rFonts w:ascii="Arial" w:hAnsi="Arial" w:cs="Arial"/>
          <w:sz w:val="24"/>
          <w:szCs w:val="24"/>
          <w:lang w:val="en-US"/>
        </w:rPr>
        <w:t xml:space="preserve">Mr Heathcote, </w:t>
      </w:r>
      <w:r w:rsidR="00A56CB0" w:rsidRPr="00160333">
        <w:rPr>
          <w:rFonts w:ascii="Arial" w:hAnsi="Arial" w:cs="Arial"/>
          <w:sz w:val="24"/>
          <w:szCs w:val="24"/>
          <w:lang w:val="en-US"/>
        </w:rPr>
        <w:t xml:space="preserve">Mr </w:t>
      </w:r>
      <w:r w:rsidR="00C44711" w:rsidRPr="00160333">
        <w:rPr>
          <w:rFonts w:ascii="Arial" w:hAnsi="Arial" w:cs="Arial"/>
          <w:sz w:val="24"/>
          <w:szCs w:val="24"/>
          <w:lang w:val="en-US"/>
        </w:rPr>
        <w:t>Hausiku</w:t>
      </w:r>
      <w:r w:rsidR="00A56CB0" w:rsidRPr="00160333">
        <w:rPr>
          <w:rFonts w:ascii="Arial" w:hAnsi="Arial" w:cs="Arial"/>
          <w:sz w:val="24"/>
          <w:szCs w:val="24"/>
          <w:lang w:val="en-US"/>
        </w:rPr>
        <w:t xml:space="preserve">, as agent </w:t>
      </w:r>
      <w:r w:rsidR="00E13155" w:rsidRPr="00160333">
        <w:rPr>
          <w:rFonts w:ascii="Arial" w:hAnsi="Arial" w:cs="Arial"/>
          <w:sz w:val="24"/>
          <w:szCs w:val="24"/>
          <w:lang w:val="en-US"/>
        </w:rPr>
        <w:t>of River</w:t>
      </w:r>
      <w:r w:rsidR="00A56CB0" w:rsidRPr="00160333">
        <w:rPr>
          <w:rFonts w:ascii="Arial" w:hAnsi="Arial" w:cs="Arial"/>
          <w:sz w:val="24"/>
          <w:szCs w:val="24"/>
          <w:lang w:val="en-US"/>
        </w:rPr>
        <w:t xml:space="preserve"> View, </w:t>
      </w:r>
      <w:r w:rsidR="00C44711" w:rsidRPr="00160333">
        <w:rPr>
          <w:rFonts w:ascii="Arial" w:hAnsi="Arial" w:cs="Arial"/>
          <w:sz w:val="24"/>
          <w:szCs w:val="24"/>
          <w:lang w:val="en-US"/>
        </w:rPr>
        <w:t xml:space="preserve">did not know of </w:t>
      </w:r>
      <w:r w:rsidR="002F69E7" w:rsidRPr="00160333">
        <w:rPr>
          <w:rFonts w:ascii="Arial" w:hAnsi="Arial" w:cs="Arial"/>
          <w:sz w:val="24"/>
          <w:szCs w:val="24"/>
          <w:lang w:val="en-US"/>
        </w:rPr>
        <w:t xml:space="preserve">Mr </w:t>
      </w:r>
      <w:r w:rsidR="00C44711" w:rsidRPr="00160333">
        <w:rPr>
          <w:rFonts w:ascii="Arial" w:hAnsi="Arial" w:cs="Arial"/>
          <w:sz w:val="24"/>
          <w:szCs w:val="24"/>
          <w:lang w:val="en-US"/>
        </w:rPr>
        <w:t xml:space="preserve">Kashera’s lack of authority and was therefore entitled to assume that the relevant provisions of the DTA’s constitution had been duly complied with. Counsel added that if regard is had to the manner </w:t>
      </w:r>
      <w:r w:rsidR="002F69E7" w:rsidRPr="00160333">
        <w:rPr>
          <w:rFonts w:ascii="Arial" w:hAnsi="Arial" w:cs="Arial"/>
          <w:sz w:val="24"/>
          <w:szCs w:val="24"/>
          <w:lang w:val="en-US"/>
        </w:rPr>
        <w:t>the regional representatives</w:t>
      </w:r>
      <w:r w:rsidR="00A56CB0" w:rsidRPr="00160333">
        <w:rPr>
          <w:rFonts w:ascii="Arial" w:hAnsi="Arial" w:cs="Arial"/>
          <w:sz w:val="24"/>
          <w:szCs w:val="24"/>
          <w:lang w:val="en-US"/>
        </w:rPr>
        <w:t xml:space="preserve"> of the DTA related to Mr </w:t>
      </w:r>
      <w:r w:rsidR="00C44711" w:rsidRPr="00160333">
        <w:rPr>
          <w:rFonts w:ascii="Arial" w:hAnsi="Arial" w:cs="Arial"/>
          <w:sz w:val="24"/>
          <w:szCs w:val="24"/>
          <w:lang w:val="en-US"/>
        </w:rPr>
        <w:t>Hausiku</w:t>
      </w:r>
      <w:r w:rsidR="00A56CB0" w:rsidRPr="00160333">
        <w:rPr>
          <w:rFonts w:ascii="Arial" w:hAnsi="Arial" w:cs="Arial"/>
          <w:sz w:val="24"/>
          <w:szCs w:val="24"/>
          <w:lang w:val="en-US"/>
        </w:rPr>
        <w:t xml:space="preserve">, the latter </w:t>
      </w:r>
      <w:r w:rsidR="00C44711" w:rsidRPr="00160333">
        <w:rPr>
          <w:rFonts w:ascii="Arial" w:hAnsi="Arial" w:cs="Arial"/>
          <w:sz w:val="24"/>
          <w:szCs w:val="24"/>
          <w:lang w:val="en-US"/>
        </w:rPr>
        <w:t>was entitled to assum</w:t>
      </w:r>
      <w:r w:rsidR="00A56CB0" w:rsidRPr="00160333">
        <w:rPr>
          <w:rFonts w:ascii="Arial" w:hAnsi="Arial" w:cs="Arial"/>
          <w:sz w:val="24"/>
          <w:szCs w:val="24"/>
          <w:lang w:val="en-US"/>
        </w:rPr>
        <w:t>e</w:t>
      </w:r>
      <w:r w:rsidR="00C44711" w:rsidRPr="00160333">
        <w:rPr>
          <w:rFonts w:ascii="Arial" w:hAnsi="Arial" w:cs="Arial"/>
          <w:sz w:val="24"/>
          <w:szCs w:val="24"/>
          <w:lang w:val="en-US"/>
        </w:rPr>
        <w:t xml:space="preserve"> that all the </w:t>
      </w:r>
      <w:r w:rsidR="00A56CB0" w:rsidRPr="00160333">
        <w:rPr>
          <w:rFonts w:ascii="Arial" w:hAnsi="Arial" w:cs="Arial"/>
          <w:sz w:val="24"/>
          <w:szCs w:val="24"/>
          <w:lang w:val="en-US"/>
        </w:rPr>
        <w:t xml:space="preserve">necessary </w:t>
      </w:r>
      <w:r w:rsidR="00C44711" w:rsidRPr="00160333">
        <w:rPr>
          <w:rFonts w:ascii="Arial" w:hAnsi="Arial" w:cs="Arial"/>
          <w:sz w:val="24"/>
          <w:szCs w:val="24"/>
          <w:lang w:val="en-US"/>
        </w:rPr>
        <w:t xml:space="preserve">internal formalities </w:t>
      </w:r>
      <w:r w:rsidR="00A56CB0" w:rsidRPr="00160333">
        <w:rPr>
          <w:rFonts w:ascii="Arial" w:hAnsi="Arial" w:cs="Arial"/>
          <w:sz w:val="24"/>
          <w:szCs w:val="24"/>
          <w:lang w:val="en-US"/>
        </w:rPr>
        <w:t xml:space="preserve">within the party </w:t>
      </w:r>
      <w:r w:rsidR="00C44711" w:rsidRPr="00160333">
        <w:rPr>
          <w:rFonts w:ascii="Arial" w:hAnsi="Arial" w:cs="Arial"/>
          <w:sz w:val="24"/>
          <w:szCs w:val="24"/>
          <w:lang w:val="en-US"/>
        </w:rPr>
        <w:t>had been complied with.</w:t>
      </w:r>
    </w:p>
    <w:p w14:paraId="301A1488" w14:textId="77777777" w:rsidR="00C44711" w:rsidRPr="00160333" w:rsidRDefault="00C44711" w:rsidP="00F355DB">
      <w:pPr>
        <w:pStyle w:val="ListParagraph"/>
        <w:spacing w:line="480" w:lineRule="auto"/>
        <w:ind w:left="0"/>
        <w:contextualSpacing w:val="0"/>
        <w:jc w:val="both"/>
        <w:rPr>
          <w:rFonts w:ascii="Arial" w:hAnsi="Arial" w:cs="Arial"/>
          <w:lang w:val="en-US"/>
        </w:rPr>
      </w:pPr>
    </w:p>
    <w:p w14:paraId="3A6E0901" w14:textId="7967B8A2" w:rsidR="00B65143" w:rsidRDefault="00C44711"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lastRenderedPageBreak/>
        <w:t xml:space="preserve">According to counsel for River View, although the </w:t>
      </w:r>
      <w:r w:rsidRPr="00160333">
        <w:rPr>
          <w:rFonts w:ascii="Arial" w:hAnsi="Arial" w:cs="Arial"/>
          <w:i/>
          <w:sz w:val="24"/>
          <w:szCs w:val="24"/>
          <w:lang w:val="en-US"/>
        </w:rPr>
        <w:t xml:space="preserve">Turquand </w:t>
      </w:r>
      <w:r w:rsidRPr="00160333">
        <w:rPr>
          <w:rFonts w:ascii="Arial" w:hAnsi="Arial" w:cs="Arial"/>
          <w:sz w:val="24"/>
          <w:szCs w:val="24"/>
          <w:lang w:val="en-US"/>
        </w:rPr>
        <w:t>rule was not pleaded</w:t>
      </w:r>
      <w:r w:rsidR="00836893">
        <w:rPr>
          <w:rFonts w:ascii="Arial" w:hAnsi="Arial" w:cs="Arial"/>
          <w:sz w:val="24"/>
          <w:szCs w:val="24"/>
          <w:lang w:val="en-US"/>
        </w:rPr>
        <w:t>,</w:t>
      </w:r>
      <w:r w:rsidRPr="00160333">
        <w:rPr>
          <w:rFonts w:ascii="Arial" w:hAnsi="Arial" w:cs="Arial"/>
          <w:sz w:val="24"/>
          <w:szCs w:val="24"/>
          <w:lang w:val="en-US"/>
        </w:rPr>
        <w:t xml:space="preserve"> it was fully argued </w:t>
      </w:r>
      <w:r w:rsidR="00836893">
        <w:rPr>
          <w:rFonts w:ascii="Arial" w:hAnsi="Arial" w:cs="Arial"/>
          <w:sz w:val="24"/>
          <w:szCs w:val="24"/>
          <w:lang w:val="en-US"/>
        </w:rPr>
        <w:t xml:space="preserve">in the court </w:t>
      </w:r>
      <w:r w:rsidRPr="00160333">
        <w:rPr>
          <w:rFonts w:ascii="Arial" w:hAnsi="Arial" w:cs="Arial"/>
          <w:i/>
          <w:sz w:val="24"/>
          <w:szCs w:val="24"/>
          <w:lang w:val="en-US"/>
        </w:rPr>
        <w:t>a quo</w:t>
      </w:r>
      <w:r w:rsidRPr="00160333">
        <w:rPr>
          <w:rFonts w:ascii="Arial" w:hAnsi="Arial" w:cs="Arial"/>
          <w:sz w:val="24"/>
          <w:szCs w:val="24"/>
          <w:lang w:val="en-US"/>
        </w:rPr>
        <w:t xml:space="preserve"> and River View is thus entitled to place reliance on it on appeal because, in any event, the essential elements for the rule’s application are established by the facts</w:t>
      </w:r>
      <w:r w:rsidR="00893007">
        <w:rPr>
          <w:rFonts w:ascii="Arial" w:hAnsi="Arial" w:cs="Arial"/>
          <w:sz w:val="24"/>
          <w:szCs w:val="24"/>
          <w:lang w:val="en-US"/>
        </w:rPr>
        <w:t xml:space="preserve"> in that</w:t>
      </w:r>
      <w:r w:rsidRPr="00160333">
        <w:rPr>
          <w:rFonts w:ascii="Arial" w:hAnsi="Arial" w:cs="Arial"/>
          <w:sz w:val="24"/>
          <w:szCs w:val="24"/>
          <w:lang w:val="en-US"/>
        </w:rPr>
        <w:t xml:space="preserve">: (a) River View acted </w:t>
      </w:r>
      <w:r w:rsidRPr="00160333">
        <w:rPr>
          <w:rFonts w:ascii="Arial" w:hAnsi="Arial" w:cs="Arial"/>
          <w:i/>
          <w:sz w:val="24"/>
          <w:szCs w:val="24"/>
          <w:lang w:val="en-US"/>
        </w:rPr>
        <w:t>bona fide</w:t>
      </w:r>
      <w:r w:rsidRPr="00160333">
        <w:rPr>
          <w:rFonts w:ascii="Arial" w:hAnsi="Arial" w:cs="Arial"/>
          <w:sz w:val="24"/>
          <w:szCs w:val="24"/>
          <w:lang w:val="en-US"/>
        </w:rPr>
        <w:t xml:space="preserve"> in concluding the transaction for the purchase of the disputed land, (b) Mr Hausiku bore no knowledge of Mr Kashera’s lack of authority to bind the DTA and was accordingly entitled to assume that the DTA’s internal pro</w:t>
      </w:r>
      <w:r w:rsidR="007E16E4">
        <w:rPr>
          <w:rFonts w:ascii="Arial" w:hAnsi="Arial" w:cs="Arial"/>
          <w:sz w:val="24"/>
          <w:szCs w:val="24"/>
          <w:lang w:val="en-US"/>
        </w:rPr>
        <w:t>cedures had been complied with.</w:t>
      </w:r>
    </w:p>
    <w:p w14:paraId="2F1D017B" w14:textId="77777777" w:rsidR="00B65143" w:rsidRDefault="00B65143" w:rsidP="00B65143">
      <w:pPr>
        <w:pStyle w:val="NoSpacing"/>
        <w:spacing w:line="480" w:lineRule="auto"/>
        <w:jc w:val="both"/>
        <w:rPr>
          <w:rFonts w:ascii="Arial" w:hAnsi="Arial" w:cs="Arial"/>
          <w:sz w:val="24"/>
          <w:szCs w:val="24"/>
          <w:lang w:val="en-US"/>
        </w:rPr>
      </w:pPr>
    </w:p>
    <w:p w14:paraId="739264A5" w14:textId="2A5C39AA" w:rsidR="00C44711" w:rsidRPr="00160333" w:rsidRDefault="00C44711"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 xml:space="preserve">Relying on what is probably the strongest circumstance in favour of River View, Mr Heathcote submitted that considering that both in respect of the transfer from RTC to DTA and from the DTA to River View, Mr Kashera was the DTA’s representative, Mr Hausiku had no reason, objectively, to doubt the representation made to him that </w:t>
      </w:r>
      <w:r w:rsidR="002F69E7" w:rsidRPr="00160333">
        <w:rPr>
          <w:rFonts w:ascii="Arial" w:hAnsi="Arial" w:cs="Arial"/>
          <w:sz w:val="24"/>
          <w:szCs w:val="24"/>
          <w:lang w:val="en-US"/>
        </w:rPr>
        <w:t xml:space="preserve">Mr </w:t>
      </w:r>
      <w:r w:rsidRPr="00160333">
        <w:rPr>
          <w:rFonts w:ascii="Arial" w:hAnsi="Arial" w:cs="Arial"/>
          <w:sz w:val="24"/>
          <w:szCs w:val="24"/>
          <w:lang w:val="en-US"/>
        </w:rPr>
        <w:t>Kashera was authorised by the DTA to conclude the transaction in respect of the disputed land.</w:t>
      </w:r>
    </w:p>
    <w:p w14:paraId="281AADD0" w14:textId="77777777" w:rsidR="00D62528" w:rsidRDefault="00D62528" w:rsidP="00F355DB">
      <w:pPr>
        <w:pStyle w:val="ListParagraph"/>
        <w:spacing w:line="480" w:lineRule="auto"/>
        <w:ind w:left="0"/>
        <w:contextualSpacing w:val="0"/>
        <w:jc w:val="both"/>
        <w:rPr>
          <w:rFonts w:ascii="Arial" w:hAnsi="Arial" w:cs="Arial"/>
          <w:lang w:val="en-US"/>
        </w:rPr>
      </w:pPr>
    </w:p>
    <w:p w14:paraId="57AC4958" w14:textId="0A60662A" w:rsidR="00D62528" w:rsidRDefault="00D62528"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In support of its reliance on ostensible authority</w:t>
      </w:r>
      <w:r w:rsidR="00836893">
        <w:rPr>
          <w:rFonts w:ascii="Arial" w:hAnsi="Arial" w:cs="Arial"/>
          <w:sz w:val="24"/>
          <w:szCs w:val="24"/>
          <w:lang w:val="en-US"/>
        </w:rPr>
        <w:t>,</w:t>
      </w:r>
      <w:r w:rsidRPr="00160333">
        <w:rPr>
          <w:rFonts w:ascii="Arial" w:hAnsi="Arial" w:cs="Arial"/>
          <w:sz w:val="24"/>
          <w:szCs w:val="24"/>
          <w:lang w:val="en-US"/>
        </w:rPr>
        <w:t xml:space="preserve"> River View amongst others cited the majority’s dictum in </w:t>
      </w:r>
      <w:r w:rsidRPr="00160333">
        <w:rPr>
          <w:rFonts w:ascii="Arial" w:hAnsi="Arial" w:cs="Arial"/>
          <w:i/>
          <w:iCs/>
          <w:sz w:val="24"/>
          <w:szCs w:val="24"/>
          <w:lang w:val="en-US"/>
        </w:rPr>
        <w:t>Makate v Vodacom Ltd</w:t>
      </w:r>
      <w:r w:rsidRPr="00160333">
        <w:rPr>
          <w:rFonts w:ascii="Arial" w:hAnsi="Arial" w:cs="Arial"/>
          <w:sz w:val="24"/>
          <w:szCs w:val="24"/>
          <w:vertAlign w:val="superscript"/>
          <w:lang w:val="en-US"/>
        </w:rPr>
        <w:footnoteReference w:id="4"/>
      </w:r>
      <w:r w:rsidR="000E275F">
        <w:rPr>
          <w:rFonts w:ascii="Arial" w:hAnsi="Arial" w:cs="Arial"/>
          <w:sz w:val="24"/>
          <w:szCs w:val="24"/>
          <w:lang w:val="en-US"/>
        </w:rPr>
        <w:t>:</w:t>
      </w:r>
    </w:p>
    <w:p w14:paraId="7A397C3F" w14:textId="77777777" w:rsidR="000E275F" w:rsidRPr="00160333" w:rsidRDefault="000E275F" w:rsidP="000E275F">
      <w:pPr>
        <w:pStyle w:val="NoSpacing"/>
        <w:spacing w:line="480" w:lineRule="auto"/>
        <w:jc w:val="both"/>
        <w:rPr>
          <w:rFonts w:ascii="Arial" w:hAnsi="Arial" w:cs="Arial"/>
          <w:sz w:val="24"/>
          <w:szCs w:val="24"/>
          <w:lang w:val="en-US"/>
        </w:rPr>
      </w:pPr>
    </w:p>
    <w:p w14:paraId="0786A4C4" w14:textId="77777777" w:rsidR="00D62528" w:rsidRPr="00D62528" w:rsidRDefault="00D62528" w:rsidP="007E16E4">
      <w:pPr>
        <w:spacing w:line="360" w:lineRule="auto"/>
        <w:ind w:left="720"/>
        <w:jc w:val="both"/>
        <w:rPr>
          <w:rFonts w:ascii="Arial" w:hAnsi="Arial" w:cs="Arial"/>
          <w:sz w:val="22"/>
          <w:szCs w:val="22"/>
        </w:rPr>
      </w:pPr>
      <w:r w:rsidRPr="00D62528">
        <w:rPr>
          <w:rFonts w:ascii="Arial" w:hAnsi="Arial" w:cs="Arial"/>
          <w:sz w:val="22"/>
          <w:szCs w:val="22"/>
          <w:lang w:val="en-US"/>
        </w:rPr>
        <w:t xml:space="preserve">‘[45] </w:t>
      </w:r>
      <w:r w:rsidRPr="00D62528">
        <w:rPr>
          <w:rFonts w:ascii="Arial" w:hAnsi="Arial" w:cs="Arial"/>
          <w:sz w:val="22"/>
          <w:szCs w:val="22"/>
        </w:rPr>
        <w:t>Actual authority and ostensible or apparent authority are the opposite sides of the same</w:t>
      </w:r>
      <w:r w:rsidRPr="00D62528">
        <w:rPr>
          <w:rFonts w:ascii="Arial" w:hAnsi="Arial" w:cs="Arial"/>
          <w:sz w:val="22"/>
          <w:szCs w:val="22"/>
          <w:lang w:val="en-US"/>
        </w:rPr>
        <w:t xml:space="preserve"> </w:t>
      </w:r>
      <w:r w:rsidRPr="00D62528">
        <w:rPr>
          <w:rFonts w:ascii="Arial" w:hAnsi="Arial" w:cs="Arial"/>
          <w:sz w:val="22"/>
          <w:szCs w:val="22"/>
        </w:rPr>
        <w:t>coin. If an agent wishes to perform a juristic act on behalf of a principal, the agent requires</w:t>
      </w:r>
      <w:r w:rsidRPr="00D62528">
        <w:rPr>
          <w:rFonts w:ascii="Arial" w:hAnsi="Arial" w:cs="Arial"/>
          <w:sz w:val="22"/>
          <w:szCs w:val="22"/>
          <w:lang w:val="en-US"/>
        </w:rPr>
        <w:t xml:space="preserve"> </w:t>
      </w:r>
      <w:r w:rsidRPr="00D62528">
        <w:rPr>
          <w:rFonts w:ascii="Arial" w:hAnsi="Arial" w:cs="Arial"/>
          <w:sz w:val="22"/>
          <w:szCs w:val="22"/>
        </w:rPr>
        <w:t xml:space="preserve">authority to do so, for the act to bind the principal. </w:t>
      </w:r>
      <w:r w:rsidRPr="00D62528">
        <w:rPr>
          <w:rFonts w:ascii="Arial" w:hAnsi="Arial" w:cs="Arial"/>
          <w:sz w:val="22"/>
          <w:szCs w:val="22"/>
          <w:u w:val="single"/>
        </w:rPr>
        <w:t>If the principal had conferred the necessary</w:t>
      </w:r>
      <w:r w:rsidRPr="00D62528">
        <w:rPr>
          <w:rFonts w:ascii="Arial" w:hAnsi="Arial" w:cs="Arial"/>
          <w:sz w:val="22"/>
          <w:szCs w:val="22"/>
          <w:u w:val="single"/>
          <w:lang w:val="en-US"/>
        </w:rPr>
        <w:t xml:space="preserve"> </w:t>
      </w:r>
      <w:r w:rsidRPr="00D62528">
        <w:rPr>
          <w:rFonts w:ascii="Arial" w:hAnsi="Arial" w:cs="Arial"/>
          <w:sz w:val="22"/>
          <w:szCs w:val="22"/>
          <w:u w:val="single"/>
        </w:rPr>
        <w:t>authority either expressly or impliedly</w:t>
      </w:r>
      <w:r w:rsidRPr="00D62528">
        <w:rPr>
          <w:rFonts w:ascii="Arial" w:hAnsi="Arial" w:cs="Arial"/>
          <w:sz w:val="22"/>
          <w:szCs w:val="22"/>
        </w:rPr>
        <w:t xml:space="preserve">, </w:t>
      </w:r>
      <w:r w:rsidRPr="00D62528">
        <w:rPr>
          <w:rFonts w:ascii="Arial" w:hAnsi="Arial" w:cs="Arial"/>
          <w:sz w:val="22"/>
          <w:szCs w:val="22"/>
          <w:u w:val="single"/>
        </w:rPr>
        <w:t>the agent is taken to have actual authority.</w:t>
      </w:r>
      <w:r w:rsidRPr="00D62528">
        <w:rPr>
          <w:rFonts w:ascii="Arial" w:hAnsi="Arial" w:cs="Arial"/>
          <w:sz w:val="22"/>
          <w:szCs w:val="22"/>
        </w:rPr>
        <w:t xml:space="preserve"> But if the</w:t>
      </w:r>
      <w:r w:rsidRPr="00D62528">
        <w:rPr>
          <w:rFonts w:ascii="Arial" w:hAnsi="Arial" w:cs="Arial"/>
          <w:sz w:val="22"/>
          <w:szCs w:val="22"/>
          <w:lang w:val="en-US"/>
        </w:rPr>
        <w:t xml:space="preserve"> </w:t>
      </w:r>
      <w:r w:rsidRPr="00D62528">
        <w:rPr>
          <w:rFonts w:ascii="Arial" w:hAnsi="Arial" w:cs="Arial"/>
          <w:sz w:val="22"/>
          <w:szCs w:val="22"/>
        </w:rPr>
        <w:t>principal were to deny that she had conferred the authority, the third party who concluded the</w:t>
      </w:r>
      <w:r w:rsidRPr="00D62528">
        <w:rPr>
          <w:rFonts w:ascii="Arial" w:hAnsi="Arial" w:cs="Arial"/>
          <w:sz w:val="22"/>
          <w:szCs w:val="22"/>
          <w:lang w:val="en-US"/>
        </w:rPr>
        <w:t xml:space="preserve"> </w:t>
      </w:r>
      <w:r w:rsidRPr="00D62528">
        <w:rPr>
          <w:rFonts w:ascii="Arial" w:hAnsi="Arial" w:cs="Arial"/>
          <w:sz w:val="22"/>
          <w:szCs w:val="22"/>
        </w:rPr>
        <w:t>juristic act with the agent may plead estoppel in replication. In this context, estoppel is not a</w:t>
      </w:r>
      <w:r w:rsidRPr="00D62528">
        <w:rPr>
          <w:rFonts w:ascii="Arial" w:hAnsi="Arial" w:cs="Arial"/>
          <w:sz w:val="22"/>
          <w:szCs w:val="22"/>
          <w:lang w:val="en-US"/>
        </w:rPr>
        <w:t xml:space="preserve"> </w:t>
      </w:r>
      <w:r w:rsidRPr="00D62528">
        <w:rPr>
          <w:rFonts w:ascii="Arial" w:hAnsi="Arial" w:cs="Arial"/>
          <w:sz w:val="22"/>
          <w:szCs w:val="22"/>
        </w:rPr>
        <w:t xml:space="preserve">form of authority but a rule to the effect that </w:t>
      </w:r>
      <w:r w:rsidRPr="00D62528">
        <w:rPr>
          <w:rFonts w:ascii="Arial" w:hAnsi="Arial" w:cs="Arial"/>
          <w:sz w:val="22"/>
          <w:szCs w:val="22"/>
          <w:u w:val="single"/>
        </w:rPr>
        <w:t>if the principal had conducted herself in a manner</w:t>
      </w:r>
      <w:r w:rsidRPr="00D62528">
        <w:rPr>
          <w:rFonts w:ascii="Arial" w:hAnsi="Arial" w:cs="Arial"/>
          <w:sz w:val="22"/>
          <w:szCs w:val="22"/>
          <w:u w:val="single"/>
          <w:lang w:val="en-US"/>
        </w:rPr>
        <w:t xml:space="preserve"> </w:t>
      </w:r>
      <w:r w:rsidRPr="00D62528">
        <w:rPr>
          <w:rFonts w:ascii="Arial" w:hAnsi="Arial" w:cs="Arial"/>
          <w:sz w:val="22"/>
          <w:szCs w:val="22"/>
          <w:u w:val="single"/>
        </w:rPr>
        <w:t xml:space="preserve">that misled the third party into </w:t>
      </w:r>
      <w:r w:rsidRPr="00D62528">
        <w:rPr>
          <w:rFonts w:ascii="Arial" w:hAnsi="Arial" w:cs="Arial"/>
          <w:sz w:val="22"/>
          <w:szCs w:val="22"/>
          <w:u w:val="single"/>
        </w:rPr>
        <w:lastRenderedPageBreak/>
        <w:t>believing that the agent had authority, the principal is precluded</w:t>
      </w:r>
      <w:r w:rsidRPr="00D62528">
        <w:rPr>
          <w:rFonts w:ascii="Arial" w:hAnsi="Arial" w:cs="Arial"/>
          <w:sz w:val="22"/>
          <w:szCs w:val="22"/>
          <w:u w:val="single"/>
          <w:lang w:val="en-US"/>
        </w:rPr>
        <w:t xml:space="preserve"> </w:t>
      </w:r>
      <w:r w:rsidRPr="00D62528">
        <w:rPr>
          <w:rFonts w:ascii="Arial" w:hAnsi="Arial" w:cs="Arial"/>
          <w:sz w:val="22"/>
          <w:szCs w:val="22"/>
          <w:u w:val="single"/>
        </w:rPr>
        <w:t>from denying that the agent had authority.</w:t>
      </w:r>
    </w:p>
    <w:p w14:paraId="536BA6FA" w14:textId="77777777" w:rsidR="00D62528" w:rsidRPr="00D62528" w:rsidRDefault="00D62528" w:rsidP="007E16E4">
      <w:pPr>
        <w:spacing w:line="360" w:lineRule="auto"/>
        <w:ind w:left="720"/>
        <w:jc w:val="both"/>
        <w:rPr>
          <w:rFonts w:ascii="Arial" w:hAnsi="Arial" w:cs="Arial"/>
          <w:sz w:val="22"/>
          <w:szCs w:val="22"/>
        </w:rPr>
      </w:pPr>
    </w:p>
    <w:p w14:paraId="63F1B25D" w14:textId="6744749B" w:rsidR="00D62528" w:rsidRPr="00D62528" w:rsidRDefault="00D62528" w:rsidP="007E16E4">
      <w:pPr>
        <w:spacing w:line="360" w:lineRule="auto"/>
        <w:ind w:left="720"/>
        <w:jc w:val="both"/>
        <w:rPr>
          <w:rFonts w:ascii="Arial" w:hAnsi="Arial" w:cs="Arial"/>
          <w:sz w:val="22"/>
          <w:szCs w:val="22"/>
        </w:rPr>
      </w:pPr>
      <w:r w:rsidRPr="00D62528">
        <w:rPr>
          <w:rFonts w:ascii="Arial" w:hAnsi="Arial" w:cs="Arial"/>
          <w:sz w:val="22"/>
          <w:szCs w:val="22"/>
        </w:rPr>
        <w:t>[46]</w:t>
      </w:r>
      <w:r w:rsidRPr="00D62528">
        <w:rPr>
          <w:rFonts w:ascii="Arial" w:hAnsi="Arial" w:cs="Arial"/>
          <w:sz w:val="22"/>
          <w:szCs w:val="22"/>
          <w:lang w:val="en-US"/>
        </w:rPr>
        <w:t xml:space="preserve"> </w:t>
      </w:r>
      <w:r w:rsidRPr="00D62528">
        <w:rPr>
          <w:rFonts w:ascii="Arial" w:hAnsi="Arial" w:cs="Arial"/>
          <w:sz w:val="22"/>
          <w:szCs w:val="22"/>
        </w:rPr>
        <w:t>The same misrepresentation may also lead to an appearance that the agent has the</w:t>
      </w:r>
      <w:r w:rsidRPr="00D62528">
        <w:rPr>
          <w:rFonts w:ascii="Arial" w:hAnsi="Arial" w:cs="Arial"/>
          <w:sz w:val="22"/>
          <w:szCs w:val="22"/>
          <w:lang w:val="en-US"/>
        </w:rPr>
        <w:t xml:space="preserve"> </w:t>
      </w:r>
      <w:r w:rsidRPr="00D62528">
        <w:rPr>
          <w:rFonts w:ascii="Arial" w:hAnsi="Arial" w:cs="Arial"/>
          <w:sz w:val="22"/>
          <w:szCs w:val="22"/>
        </w:rPr>
        <w:t>power to act on behalf of the principal. This is known as ostensible or apparent authority in our</w:t>
      </w:r>
      <w:r w:rsidRPr="00D62528">
        <w:rPr>
          <w:rFonts w:ascii="Arial" w:hAnsi="Arial" w:cs="Arial"/>
          <w:sz w:val="22"/>
          <w:szCs w:val="22"/>
          <w:lang w:val="en-US"/>
        </w:rPr>
        <w:t xml:space="preserve"> </w:t>
      </w:r>
      <w:r w:rsidRPr="00D62528">
        <w:rPr>
          <w:rFonts w:ascii="Arial" w:hAnsi="Arial" w:cs="Arial"/>
          <w:sz w:val="22"/>
          <w:szCs w:val="22"/>
        </w:rPr>
        <w:t>law. While this kind of authority may not have been conferred by the principal, it is still taken to</w:t>
      </w:r>
      <w:r w:rsidRPr="00D62528">
        <w:rPr>
          <w:rFonts w:ascii="Arial" w:hAnsi="Arial" w:cs="Arial"/>
          <w:sz w:val="22"/>
          <w:szCs w:val="22"/>
          <w:lang w:val="en-US"/>
        </w:rPr>
        <w:t xml:space="preserve"> </w:t>
      </w:r>
      <w:r w:rsidRPr="00D62528">
        <w:rPr>
          <w:rFonts w:ascii="Arial" w:hAnsi="Arial" w:cs="Arial"/>
          <w:sz w:val="22"/>
          <w:szCs w:val="22"/>
        </w:rPr>
        <w:t>be the authority of the agent as it appears to others. It is distinguishable from estoppel which is</w:t>
      </w:r>
      <w:r w:rsidRPr="00D62528">
        <w:rPr>
          <w:rFonts w:ascii="Arial" w:hAnsi="Arial" w:cs="Arial"/>
          <w:sz w:val="22"/>
          <w:szCs w:val="22"/>
          <w:lang w:val="en-US"/>
        </w:rPr>
        <w:t xml:space="preserve"> </w:t>
      </w:r>
      <w:r w:rsidRPr="00D62528">
        <w:rPr>
          <w:rFonts w:ascii="Arial" w:hAnsi="Arial" w:cs="Arial"/>
          <w:sz w:val="22"/>
          <w:szCs w:val="22"/>
        </w:rPr>
        <w:t>not authority at all. Moreover, estoppel and apparent authority have different elements, barring</w:t>
      </w:r>
      <w:r w:rsidRPr="00D62528">
        <w:rPr>
          <w:rFonts w:ascii="Arial" w:hAnsi="Arial" w:cs="Arial"/>
          <w:sz w:val="22"/>
          <w:szCs w:val="22"/>
          <w:lang w:val="en-US"/>
        </w:rPr>
        <w:t xml:space="preserve"> </w:t>
      </w:r>
      <w:r w:rsidRPr="00D62528">
        <w:rPr>
          <w:rFonts w:ascii="Arial" w:hAnsi="Arial" w:cs="Arial"/>
          <w:sz w:val="22"/>
          <w:szCs w:val="22"/>
        </w:rPr>
        <w:t>one that is common to both. The common element is the representation which may take the</w:t>
      </w:r>
      <w:r w:rsidRPr="00D62528">
        <w:rPr>
          <w:rFonts w:ascii="Arial" w:hAnsi="Arial" w:cs="Arial"/>
          <w:sz w:val="22"/>
          <w:szCs w:val="22"/>
          <w:lang w:val="en-US"/>
        </w:rPr>
        <w:t xml:space="preserve"> </w:t>
      </w:r>
      <w:r w:rsidRPr="00D62528">
        <w:rPr>
          <w:rFonts w:ascii="Arial" w:hAnsi="Arial" w:cs="Arial"/>
          <w:sz w:val="22"/>
          <w:szCs w:val="22"/>
        </w:rPr>
        <w:t>form of words or conduct.</w:t>
      </w:r>
      <w:r w:rsidRPr="00D62528">
        <w:rPr>
          <w:rFonts w:ascii="Arial" w:hAnsi="Arial" w:cs="Arial"/>
          <w:sz w:val="22"/>
          <w:szCs w:val="22"/>
          <w:lang w:val="en-US"/>
        </w:rPr>
        <w:t>’</w:t>
      </w:r>
      <w:r w:rsidR="00893007">
        <w:rPr>
          <w:rFonts w:ascii="Arial" w:hAnsi="Arial" w:cs="Arial"/>
          <w:sz w:val="22"/>
          <w:szCs w:val="22"/>
          <w:lang w:val="en-US"/>
        </w:rPr>
        <w:t xml:space="preserve"> [My emphasis] </w:t>
      </w:r>
    </w:p>
    <w:p w14:paraId="522BF378" w14:textId="77777777" w:rsidR="00C44711" w:rsidRPr="00136B19" w:rsidRDefault="00C44711" w:rsidP="00F355DB">
      <w:pPr>
        <w:pStyle w:val="ListParagraph"/>
        <w:spacing w:line="480" w:lineRule="auto"/>
        <w:ind w:left="0"/>
        <w:contextualSpacing w:val="0"/>
        <w:jc w:val="both"/>
        <w:rPr>
          <w:rFonts w:ascii="Arial" w:hAnsi="Arial" w:cs="Arial"/>
          <w:lang w:val="en-US"/>
        </w:rPr>
      </w:pPr>
    </w:p>
    <w:p w14:paraId="7B28213A" w14:textId="5ADE4121" w:rsidR="00C44711" w:rsidRPr="00160333" w:rsidRDefault="00C44711"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 xml:space="preserve">River View’s counsel further submitted that regarding ostensible authority and the </w:t>
      </w:r>
      <w:r w:rsidRPr="00160333">
        <w:rPr>
          <w:rFonts w:ascii="Arial" w:hAnsi="Arial" w:cs="Arial"/>
          <w:i/>
          <w:sz w:val="24"/>
          <w:szCs w:val="24"/>
          <w:lang w:val="en-US"/>
        </w:rPr>
        <w:t>Turquand</w:t>
      </w:r>
      <w:r w:rsidRPr="00160333">
        <w:rPr>
          <w:rFonts w:ascii="Arial" w:hAnsi="Arial" w:cs="Arial"/>
          <w:sz w:val="24"/>
          <w:szCs w:val="24"/>
          <w:lang w:val="en-US"/>
        </w:rPr>
        <w:t xml:space="preserve"> rul</w:t>
      </w:r>
      <w:r w:rsidR="00A56CB0" w:rsidRPr="00160333">
        <w:rPr>
          <w:rFonts w:ascii="Arial" w:hAnsi="Arial" w:cs="Arial"/>
          <w:sz w:val="24"/>
          <w:szCs w:val="24"/>
          <w:lang w:val="en-US"/>
        </w:rPr>
        <w:t>e, the sole question is whether</w:t>
      </w:r>
      <w:r w:rsidRPr="00160333">
        <w:rPr>
          <w:rFonts w:ascii="Arial" w:hAnsi="Arial" w:cs="Arial"/>
          <w:sz w:val="24"/>
          <w:szCs w:val="24"/>
          <w:lang w:val="en-US"/>
        </w:rPr>
        <w:t xml:space="preserve"> River View could have accepted that the DTA could have given authority to its regional coordinator</w:t>
      </w:r>
      <w:r w:rsidR="00A56CB0" w:rsidRPr="00160333">
        <w:rPr>
          <w:rFonts w:ascii="Arial" w:hAnsi="Arial" w:cs="Arial"/>
          <w:sz w:val="24"/>
          <w:szCs w:val="24"/>
          <w:lang w:val="en-US"/>
        </w:rPr>
        <w:t>.</w:t>
      </w:r>
      <w:r w:rsidRPr="00160333">
        <w:rPr>
          <w:rFonts w:ascii="Arial" w:hAnsi="Arial" w:cs="Arial"/>
          <w:sz w:val="24"/>
          <w:szCs w:val="24"/>
          <w:lang w:val="en-US"/>
        </w:rPr>
        <w:t xml:space="preserve"> </w:t>
      </w:r>
    </w:p>
    <w:p w14:paraId="4D8F97B8" w14:textId="77777777" w:rsidR="00C44711" w:rsidRDefault="00C44711" w:rsidP="00F355DB">
      <w:pPr>
        <w:pStyle w:val="ListParagraph"/>
        <w:spacing w:line="480" w:lineRule="auto"/>
        <w:ind w:left="0"/>
        <w:jc w:val="both"/>
        <w:rPr>
          <w:rFonts w:ascii="Arial" w:hAnsi="Arial" w:cs="Arial"/>
          <w:lang w:val="en-US"/>
        </w:rPr>
      </w:pPr>
    </w:p>
    <w:p w14:paraId="18BC4C2E" w14:textId="77777777" w:rsidR="00C44711" w:rsidRPr="00DF7C81" w:rsidRDefault="00C44711" w:rsidP="00F355DB">
      <w:pPr>
        <w:pStyle w:val="ListParagraph"/>
        <w:spacing w:line="480" w:lineRule="auto"/>
        <w:ind w:left="0"/>
        <w:jc w:val="both"/>
        <w:rPr>
          <w:rFonts w:ascii="Arial" w:hAnsi="Arial" w:cs="Arial"/>
          <w:i/>
          <w:lang w:val="en-US"/>
        </w:rPr>
      </w:pPr>
      <w:r w:rsidRPr="00DF7C81">
        <w:rPr>
          <w:rFonts w:ascii="Arial" w:hAnsi="Arial" w:cs="Arial"/>
          <w:i/>
          <w:lang w:val="en-US"/>
        </w:rPr>
        <w:t>DTA</w:t>
      </w:r>
    </w:p>
    <w:p w14:paraId="0AC34E7D" w14:textId="32E36010" w:rsidR="00C44711" w:rsidRPr="00160333" w:rsidRDefault="00836893" w:rsidP="00160333">
      <w:pPr>
        <w:pStyle w:val="NoSpacing"/>
        <w:numPr>
          <w:ilvl w:val="0"/>
          <w:numId w:val="7"/>
        </w:numPr>
        <w:spacing w:line="480" w:lineRule="auto"/>
        <w:ind w:left="0" w:firstLine="0"/>
        <w:jc w:val="both"/>
        <w:rPr>
          <w:rFonts w:ascii="Arial" w:hAnsi="Arial" w:cs="Arial"/>
          <w:sz w:val="24"/>
          <w:szCs w:val="24"/>
          <w:lang w:val="en-US"/>
        </w:rPr>
      </w:pPr>
      <w:r>
        <w:rPr>
          <w:rFonts w:ascii="Arial" w:hAnsi="Arial" w:cs="Arial"/>
          <w:sz w:val="24"/>
          <w:szCs w:val="24"/>
          <w:lang w:val="en-US"/>
        </w:rPr>
        <w:t>Mr</w:t>
      </w:r>
      <w:r w:rsidR="00C44711" w:rsidRPr="00160333">
        <w:rPr>
          <w:rFonts w:ascii="Arial" w:hAnsi="Arial" w:cs="Arial"/>
          <w:sz w:val="24"/>
          <w:szCs w:val="24"/>
          <w:lang w:val="en-US"/>
        </w:rPr>
        <w:t xml:space="preserve"> </w:t>
      </w:r>
      <w:r w:rsidR="00D62528" w:rsidRPr="00160333">
        <w:rPr>
          <w:rFonts w:ascii="Arial" w:hAnsi="Arial" w:cs="Arial"/>
          <w:sz w:val="24"/>
          <w:szCs w:val="24"/>
          <w:lang w:val="en-US"/>
        </w:rPr>
        <w:t>Ravenscroft-</w:t>
      </w:r>
      <w:r w:rsidR="00C44711" w:rsidRPr="00160333">
        <w:rPr>
          <w:rFonts w:ascii="Arial" w:hAnsi="Arial" w:cs="Arial"/>
          <w:sz w:val="24"/>
          <w:szCs w:val="24"/>
          <w:lang w:val="en-US"/>
        </w:rPr>
        <w:t>Jones for the DTA submitted that none of the representors purporting to act on behalf of the DTA had authority to sell the disputed land. Counsel added that since Mr Hausiku was not aware of the existence of DTA’s constitution</w:t>
      </w:r>
      <w:r>
        <w:rPr>
          <w:rFonts w:ascii="Arial" w:hAnsi="Arial" w:cs="Arial"/>
          <w:sz w:val="24"/>
          <w:szCs w:val="24"/>
          <w:lang w:val="en-US"/>
        </w:rPr>
        <w:t>,</w:t>
      </w:r>
      <w:r w:rsidR="00C44711" w:rsidRPr="00160333">
        <w:rPr>
          <w:rFonts w:ascii="Arial" w:hAnsi="Arial" w:cs="Arial"/>
          <w:sz w:val="24"/>
          <w:szCs w:val="24"/>
          <w:lang w:val="en-US"/>
        </w:rPr>
        <w:t xml:space="preserve"> River View cannot rely on ost</w:t>
      </w:r>
      <w:r w:rsidR="007E16E4">
        <w:rPr>
          <w:rFonts w:ascii="Arial" w:hAnsi="Arial" w:cs="Arial"/>
          <w:sz w:val="24"/>
          <w:szCs w:val="24"/>
          <w:lang w:val="en-US"/>
        </w:rPr>
        <w:t>ensible authority.</w:t>
      </w:r>
    </w:p>
    <w:p w14:paraId="01A6D9B8" w14:textId="77777777" w:rsidR="00C44711" w:rsidRDefault="00C44711" w:rsidP="00F355DB">
      <w:pPr>
        <w:pStyle w:val="ListParagraph"/>
        <w:spacing w:line="480" w:lineRule="auto"/>
        <w:ind w:left="0"/>
        <w:contextualSpacing w:val="0"/>
        <w:jc w:val="both"/>
        <w:rPr>
          <w:rFonts w:ascii="Arial" w:hAnsi="Arial" w:cs="Arial"/>
          <w:lang w:val="en-US"/>
        </w:rPr>
      </w:pPr>
    </w:p>
    <w:p w14:paraId="78FB262E" w14:textId="5E75C432" w:rsidR="00C44711" w:rsidRPr="00160333" w:rsidRDefault="00C44711"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 xml:space="preserve">Counsel relied on </w:t>
      </w:r>
      <w:r w:rsidRPr="00160333">
        <w:rPr>
          <w:rFonts w:ascii="Arial" w:hAnsi="Arial" w:cs="Arial"/>
          <w:sz w:val="24"/>
          <w:szCs w:val="24"/>
        </w:rPr>
        <w:t xml:space="preserve">the South African case of </w:t>
      </w:r>
      <w:r w:rsidRPr="00160333">
        <w:rPr>
          <w:rFonts w:ascii="Arial" w:hAnsi="Arial" w:cs="Arial"/>
          <w:i/>
          <w:iCs/>
          <w:sz w:val="24"/>
          <w:szCs w:val="24"/>
        </w:rPr>
        <w:t>NBS Bank Ltd v Cape Produce Company</w:t>
      </w:r>
      <w:r w:rsidRPr="00160333">
        <w:rPr>
          <w:rFonts w:ascii="Arial" w:hAnsi="Arial" w:cs="Arial"/>
          <w:i/>
          <w:iCs/>
          <w:sz w:val="24"/>
          <w:szCs w:val="24"/>
          <w:lang w:val="en-US"/>
        </w:rPr>
        <w:t xml:space="preserve"> </w:t>
      </w:r>
      <w:r w:rsidRPr="00160333">
        <w:rPr>
          <w:rFonts w:ascii="Arial" w:hAnsi="Arial" w:cs="Arial"/>
          <w:i/>
          <w:iCs/>
          <w:sz w:val="24"/>
          <w:szCs w:val="24"/>
        </w:rPr>
        <w:t xml:space="preserve">(Pty) </w:t>
      </w:r>
      <w:r w:rsidR="00836893">
        <w:rPr>
          <w:rFonts w:ascii="Arial" w:hAnsi="Arial" w:cs="Arial"/>
          <w:i/>
          <w:iCs/>
          <w:sz w:val="24"/>
          <w:szCs w:val="24"/>
        </w:rPr>
        <w:t>Ltd and others</w:t>
      </w:r>
      <w:r w:rsidRPr="00160333">
        <w:rPr>
          <w:rFonts w:ascii="Arial" w:hAnsi="Arial" w:cs="Arial"/>
          <w:sz w:val="24"/>
          <w:szCs w:val="24"/>
          <w:vertAlign w:val="superscript"/>
          <w:lang w:val="en-US"/>
        </w:rPr>
        <w:footnoteReference w:id="5"/>
      </w:r>
      <w:r w:rsidRPr="00160333">
        <w:rPr>
          <w:rFonts w:ascii="Arial" w:hAnsi="Arial" w:cs="Arial"/>
          <w:i/>
          <w:iCs/>
          <w:sz w:val="24"/>
          <w:szCs w:val="24"/>
        </w:rPr>
        <w:t xml:space="preserve"> </w:t>
      </w:r>
      <w:r w:rsidRPr="00160333">
        <w:rPr>
          <w:rFonts w:ascii="Arial" w:hAnsi="Arial" w:cs="Arial"/>
          <w:iCs/>
          <w:sz w:val="24"/>
          <w:szCs w:val="24"/>
        </w:rPr>
        <w:t>wherein</w:t>
      </w:r>
      <w:r w:rsidRPr="00160333">
        <w:rPr>
          <w:rFonts w:ascii="Arial" w:hAnsi="Arial" w:cs="Arial"/>
          <w:i/>
          <w:iCs/>
          <w:sz w:val="24"/>
          <w:szCs w:val="24"/>
        </w:rPr>
        <w:t xml:space="preserve"> </w:t>
      </w:r>
      <w:r w:rsidRPr="00160333">
        <w:rPr>
          <w:rFonts w:ascii="Arial" w:hAnsi="Arial" w:cs="Arial"/>
          <w:sz w:val="24"/>
          <w:szCs w:val="24"/>
        </w:rPr>
        <w:t>the Supreme Court of Appeal held that where a principal is</w:t>
      </w:r>
      <w:r w:rsidRPr="00160333">
        <w:rPr>
          <w:rFonts w:ascii="Arial" w:hAnsi="Arial" w:cs="Arial"/>
          <w:sz w:val="24"/>
          <w:szCs w:val="24"/>
          <w:lang w:val="en-US"/>
        </w:rPr>
        <w:t xml:space="preserve"> </w:t>
      </w:r>
      <w:r w:rsidRPr="00160333">
        <w:rPr>
          <w:rFonts w:ascii="Arial" w:hAnsi="Arial" w:cs="Arial"/>
          <w:sz w:val="24"/>
          <w:szCs w:val="24"/>
        </w:rPr>
        <w:t>held liable because of the ostensible authority of an agent, agency by</w:t>
      </w:r>
      <w:r w:rsidRPr="00160333">
        <w:rPr>
          <w:rFonts w:ascii="Arial" w:hAnsi="Arial" w:cs="Arial"/>
          <w:sz w:val="24"/>
          <w:szCs w:val="24"/>
          <w:lang w:val="en-US"/>
        </w:rPr>
        <w:t xml:space="preserve"> </w:t>
      </w:r>
      <w:r w:rsidRPr="00160333">
        <w:rPr>
          <w:rFonts w:ascii="Arial" w:hAnsi="Arial" w:cs="Arial"/>
          <w:sz w:val="24"/>
          <w:szCs w:val="24"/>
        </w:rPr>
        <w:t>estoppel is set to arise. However, the appearance or</w:t>
      </w:r>
      <w:r w:rsidRPr="00160333">
        <w:rPr>
          <w:rFonts w:ascii="Arial" w:hAnsi="Arial" w:cs="Arial"/>
          <w:sz w:val="24"/>
          <w:szCs w:val="24"/>
          <w:lang w:val="en-US"/>
        </w:rPr>
        <w:t xml:space="preserve"> </w:t>
      </w:r>
      <w:r w:rsidRPr="00160333">
        <w:rPr>
          <w:rFonts w:ascii="Arial" w:hAnsi="Arial" w:cs="Arial"/>
          <w:sz w:val="24"/>
          <w:szCs w:val="24"/>
        </w:rPr>
        <w:t xml:space="preserve">representation must have been </w:t>
      </w:r>
      <w:r w:rsidRPr="00160333">
        <w:rPr>
          <w:rFonts w:ascii="Arial" w:hAnsi="Arial" w:cs="Arial"/>
          <w:sz w:val="24"/>
          <w:szCs w:val="24"/>
        </w:rPr>
        <w:lastRenderedPageBreak/>
        <w:t>created by the principal himself. The</w:t>
      </w:r>
      <w:r w:rsidRPr="00160333">
        <w:rPr>
          <w:rFonts w:ascii="Arial" w:hAnsi="Arial" w:cs="Arial"/>
          <w:sz w:val="24"/>
          <w:szCs w:val="24"/>
          <w:lang w:val="en-US"/>
        </w:rPr>
        <w:t xml:space="preserve"> </w:t>
      </w:r>
      <w:r w:rsidRPr="00160333">
        <w:rPr>
          <w:rFonts w:ascii="Arial" w:hAnsi="Arial" w:cs="Arial"/>
          <w:sz w:val="24"/>
          <w:szCs w:val="24"/>
        </w:rPr>
        <w:t>fact that another holds himself out as his agent cannot, of itself, impose</w:t>
      </w:r>
      <w:r w:rsidRPr="00160333">
        <w:rPr>
          <w:rFonts w:ascii="Arial" w:hAnsi="Arial" w:cs="Arial"/>
          <w:sz w:val="24"/>
          <w:szCs w:val="24"/>
          <w:lang w:val="en-US"/>
        </w:rPr>
        <w:t xml:space="preserve"> </w:t>
      </w:r>
      <w:r w:rsidRPr="00160333">
        <w:rPr>
          <w:rFonts w:ascii="Arial" w:hAnsi="Arial" w:cs="Arial"/>
          <w:sz w:val="24"/>
          <w:szCs w:val="24"/>
        </w:rPr>
        <w:t>liability on the principal.</w:t>
      </w:r>
      <w:r w:rsidRPr="00160333">
        <w:rPr>
          <w:rFonts w:ascii="Arial" w:hAnsi="Arial" w:cs="Arial"/>
          <w:sz w:val="24"/>
          <w:szCs w:val="24"/>
          <w:vertAlign w:val="superscript"/>
          <w:lang w:val="en-US"/>
        </w:rPr>
        <w:footnoteReference w:id="6"/>
      </w:r>
    </w:p>
    <w:p w14:paraId="55F4B7B5" w14:textId="77777777" w:rsidR="00C44711" w:rsidRPr="00160333" w:rsidRDefault="00C44711" w:rsidP="00F355DB">
      <w:pPr>
        <w:pStyle w:val="ListParagraph"/>
        <w:spacing w:line="480" w:lineRule="auto"/>
        <w:ind w:left="0"/>
        <w:contextualSpacing w:val="0"/>
        <w:jc w:val="both"/>
        <w:rPr>
          <w:rFonts w:ascii="Arial" w:hAnsi="Arial" w:cs="Arial"/>
          <w:lang w:val="en-US"/>
        </w:rPr>
      </w:pPr>
    </w:p>
    <w:p w14:paraId="1CF9CD8F" w14:textId="0F6D8323" w:rsidR="00C44711" w:rsidRPr="000E275F" w:rsidRDefault="0049058D" w:rsidP="00F355DB">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 xml:space="preserve">Counsel for the DTA also </w:t>
      </w:r>
      <w:r w:rsidR="00C44711" w:rsidRPr="00160333">
        <w:rPr>
          <w:rFonts w:ascii="Arial" w:hAnsi="Arial" w:cs="Arial"/>
          <w:sz w:val="24"/>
          <w:szCs w:val="24"/>
          <w:lang w:val="en-US"/>
        </w:rPr>
        <w:t xml:space="preserve">referred to the matter of </w:t>
      </w:r>
      <w:r w:rsidR="00C44711" w:rsidRPr="00160333">
        <w:rPr>
          <w:rFonts w:ascii="Arial" w:hAnsi="Arial" w:cs="Arial"/>
          <w:i/>
          <w:iCs/>
          <w:sz w:val="24"/>
          <w:szCs w:val="24"/>
        </w:rPr>
        <w:t>Offshore Development Co (Pty) Ltd v First National</w:t>
      </w:r>
      <w:r w:rsidR="00C44711" w:rsidRPr="00160333">
        <w:rPr>
          <w:rFonts w:ascii="Arial" w:hAnsi="Arial" w:cs="Arial"/>
          <w:i/>
          <w:iCs/>
          <w:sz w:val="24"/>
          <w:szCs w:val="24"/>
          <w:lang w:val="en-US"/>
        </w:rPr>
        <w:t xml:space="preserve"> </w:t>
      </w:r>
      <w:r w:rsidR="00C44711" w:rsidRPr="00160333">
        <w:rPr>
          <w:rFonts w:ascii="Arial" w:hAnsi="Arial" w:cs="Arial"/>
          <w:i/>
          <w:iCs/>
          <w:sz w:val="24"/>
          <w:szCs w:val="24"/>
        </w:rPr>
        <w:t>Bank of Namibia Ltd</w:t>
      </w:r>
      <w:r w:rsidR="00C44711" w:rsidRPr="00160333">
        <w:rPr>
          <w:rFonts w:ascii="Arial" w:hAnsi="Arial" w:cs="Arial"/>
          <w:sz w:val="24"/>
          <w:szCs w:val="24"/>
          <w:vertAlign w:val="superscript"/>
          <w:lang w:val="en-US"/>
        </w:rPr>
        <w:footnoteReference w:id="7"/>
      </w:r>
      <w:r w:rsidR="00C44711" w:rsidRPr="00160333">
        <w:rPr>
          <w:rFonts w:ascii="Arial" w:hAnsi="Arial" w:cs="Arial"/>
          <w:i/>
          <w:iCs/>
          <w:sz w:val="24"/>
          <w:szCs w:val="24"/>
        </w:rPr>
        <w:t>,</w:t>
      </w:r>
      <w:r w:rsidR="00C44711" w:rsidRPr="00160333">
        <w:rPr>
          <w:rFonts w:ascii="Arial" w:hAnsi="Arial" w:cs="Arial"/>
          <w:sz w:val="24"/>
          <w:szCs w:val="24"/>
        </w:rPr>
        <w:t xml:space="preserve"> </w:t>
      </w:r>
      <w:r w:rsidRPr="00160333">
        <w:rPr>
          <w:rFonts w:ascii="Arial" w:hAnsi="Arial" w:cs="Arial"/>
          <w:sz w:val="24"/>
          <w:szCs w:val="24"/>
        </w:rPr>
        <w:t>holding:</w:t>
      </w:r>
    </w:p>
    <w:p w14:paraId="774C96F9" w14:textId="77777777" w:rsidR="000E275F" w:rsidRPr="00893007" w:rsidRDefault="000E275F" w:rsidP="000E275F">
      <w:pPr>
        <w:pStyle w:val="NoSpacing"/>
        <w:spacing w:line="480" w:lineRule="auto"/>
        <w:jc w:val="both"/>
        <w:rPr>
          <w:rFonts w:ascii="Arial" w:hAnsi="Arial" w:cs="Arial"/>
          <w:sz w:val="24"/>
          <w:szCs w:val="24"/>
          <w:lang w:val="en-US"/>
        </w:rPr>
      </w:pPr>
    </w:p>
    <w:p w14:paraId="364FB434" w14:textId="5E9483AE" w:rsidR="00C44711" w:rsidRPr="00D62528" w:rsidRDefault="00145FED" w:rsidP="000E275F">
      <w:pPr>
        <w:spacing w:line="360" w:lineRule="auto"/>
        <w:ind w:left="720"/>
        <w:contextualSpacing/>
        <w:jc w:val="both"/>
        <w:rPr>
          <w:rFonts w:ascii="Arial" w:hAnsi="Arial" w:cs="Arial"/>
          <w:sz w:val="22"/>
          <w:szCs w:val="22"/>
          <w:lang w:val="en-US"/>
        </w:rPr>
      </w:pPr>
      <w:r>
        <w:rPr>
          <w:rFonts w:ascii="Arial" w:hAnsi="Arial" w:cs="Arial"/>
          <w:lang w:val="en-US"/>
        </w:rPr>
        <w:t>“</w:t>
      </w:r>
      <w:r w:rsidR="00C44711" w:rsidRPr="00D62528">
        <w:rPr>
          <w:rFonts w:ascii="Arial" w:hAnsi="Arial" w:cs="Arial"/>
          <w:sz w:val="22"/>
          <w:szCs w:val="22"/>
        </w:rPr>
        <w:t>That because</w:t>
      </w:r>
      <w:r w:rsidR="00C44711" w:rsidRPr="00D62528">
        <w:rPr>
          <w:rFonts w:ascii="Arial" w:hAnsi="Arial" w:cs="Arial"/>
          <w:sz w:val="22"/>
          <w:szCs w:val="22"/>
          <w:lang w:val="en-US"/>
        </w:rPr>
        <w:t xml:space="preserve"> </w:t>
      </w:r>
      <w:r w:rsidR="00C44711" w:rsidRPr="00D62528">
        <w:rPr>
          <w:rFonts w:ascii="Arial" w:hAnsi="Arial" w:cs="Arial"/>
          <w:sz w:val="22"/>
          <w:szCs w:val="22"/>
        </w:rPr>
        <w:t xml:space="preserve">the rule in </w:t>
      </w:r>
      <w:r w:rsidR="00E13155" w:rsidRPr="00D46C4C">
        <w:rPr>
          <w:rFonts w:ascii="Arial" w:hAnsi="Arial" w:cs="Arial"/>
          <w:i/>
          <w:sz w:val="22"/>
          <w:szCs w:val="22"/>
        </w:rPr>
        <w:t>Turquand</w:t>
      </w:r>
      <w:r>
        <w:rPr>
          <w:rFonts w:ascii="Arial" w:hAnsi="Arial" w:cs="Arial"/>
          <w:i/>
          <w:sz w:val="22"/>
          <w:szCs w:val="22"/>
        </w:rPr>
        <w:t>’s</w:t>
      </w:r>
      <w:r w:rsidR="00C44711" w:rsidRPr="00D62528">
        <w:rPr>
          <w:rFonts w:ascii="Arial" w:hAnsi="Arial" w:cs="Arial"/>
          <w:sz w:val="22"/>
          <w:szCs w:val="22"/>
        </w:rPr>
        <w:t xml:space="preserve"> case is not an absolute and unqualified rule of</w:t>
      </w:r>
      <w:r w:rsidR="00C44711" w:rsidRPr="00D62528">
        <w:rPr>
          <w:rFonts w:ascii="Arial" w:hAnsi="Arial" w:cs="Arial"/>
          <w:sz w:val="22"/>
          <w:szCs w:val="22"/>
          <w:lang w:val="en-US"/>
        </w:rPr>
        <w:t xml:space="preserve"> </w:t>
      </w:r>
      <w:r w:rsidR="00C44711" w:rsidRPr="00D62528">
        <w:rPr>
          <w:rFonts w:ascii="Arial" w:hAnsi="Arial" w:cs="Arial"/>
          <w:sz w:val="22"/>
          <w:szCs w:val="22"/>
        </w:rPr>
        <w:t>law but applies only in favour of persons dealing with the company in</w:t>
      </w:r>
      <w:r w:rsidR="00C44711" w:rsidRPr="00D62528">
        <w:rPr>
          <w:rFonts w:ascii="Arial" w:hAnsi="Arial" w:cs="Arial"/>
          <w:sz w:val="22"/>
          <w:szCs w:val="22"/>
          <w:lang w:val="en-US"/>
        </w:rPr>
        <w:t xml:space="preserve"> </w:t>
      </w:r>
      <w:r w:rsidR="00C44711" w:rsidRPr="00D62528">
        <w:rPr>
          <w:rFonts w:ascii="Arial" w:hAnsi="Arial" w:cs="Arial"/>
          <w:sz w:val="22"/>
          <w:szCs w:val="22"/>
        </w:rPr>
        <w:t>good faith, it is not a mere plea of law which does not have to be</w:t>
      </w:r>
      <w:r w:rsidR="00C44711" w:rsidRPr="00D62528">
        <w:rPr>
          <w:rFonts w:ascii="Arial" w:hAnsi="Arial" w:cs="Arial"/>
          <w:sz w:val="22"/>
          <w:szCs w:val="22"/>
          <w:lang w:val="en-US"/>
        </w:rPr>
        <w:t xml:space="preserve"> </w:t>
      </w:r>
      <w:r w:rsidR="00C44711" w:rsidRPr="00D62528">
        <w:rPr>
          <w:rFonts w:ascii="Arial" w:hAnsi="Arial" w:cs="Arial"/>
          <w:sz w:val="22"/>
          <w:szCs w:val="22"/>
        </w:rPr>
        <w:t>pleaded. Rather, it is a plea of mixed fact and law. Therefore, it is at the</w:t>
      </w:r>
      <w:r w:rsidR="00C44711" w:rsidRPr="00D62528">
        <w:rPr>
          <w:rFonts w:ascii="Arial" w:hAnsi="Arial" w:cs="Arial"/>
          <w:sz w:val="22"/>
          <w:szCs w:val="22"/>
          <w:lang w:val="en-US"/>
        </w:rPr>
        <w:t xml:space="preserve"> </w:t>
      </w:r>
      <w:r w:rsidR="00C44711" w:rsidRPr="00D62528">
        <w:rPr>
          <w:rFonts w:ascii="Arial" w:hAnsi="Arial" w:cs="Arial"/>
          <w:sz w:val="22"/>
          <w:szCs w:val="22"/>
        </w:rPr>
        <w:t>very least incumbent on the person invoking it to plead that he did not</w:t>
      </w:r>
      <w:r w:rsidR="00C44711" w:rsidRPr="00D62528">
        <w:rPr>
          <w:rFonts w:ascii="Arial" w:hAnsi="Arial" w:cs="Arial"/>
          <w:sz w:val="22"/>
          <w:szCs w:val="22"/>
          <w:lang w:val="en-US"/>
        </w:rPr>
        <w:t xml:space="preserve"> </w:t>
      </w:r>
      <w:r w:rsidR="00C44711" w:rsidRPr="00D62528">
        <w:rPr>
          <w:rFonts w:ascii="Arial" w:hAnsi="Arial" w:cs="Arial"/>
          <w:sz w:val="22"/>
          <w:szCs w:val="22"/>
        </w:rPr>
        <w:t>know of the irregularity and was entitled to assume that the relevant</w:t>
      </w:r>
      <w:r w:rsidR="00C44711" w:rsidRPr="00D62528">
        <w:rPr>
          <w:rFonts w:ascii="Arial" w:hAnsi="Arial" w:cs="Arial"/>
          <w:sz w:val="22"/>
          <w:szCs w:val="22"/>
          <w:lang w:val="en-US"/>
        </w:rPr>
        <w:t xml:space="preserve"> </w:t>
      </w:r>
      <w:r w:rsidR="00C44711" w:rsidRPr="00D62528">
        <w:rPr>
          <w:rFonts w:ascii="Arial" w:hAnsi="Arial" w:cs="Arial"/>
          <w:sz w:val="22"/>
          <w:szCs w:val="22"/>
        </w:rPr>
        <w:t>provision of the company's constitution had been properly and duly</w:t>
      </w:r>
      <w:r w:rsidR="00C44711" w:rsidRPr="00D62528">
        <w:rPr>
          <w:rFonts w:ascii="Arial" w:hAnsi="Arial" w:cs="Arial"/>
          <w:sz w:val="22"/>
          <w:szCs w:val="22"/>
          <w:lang w:val="en-US"/>
        </w:rPr>
        <w:t xml:space="preserve"> </w:t>
      </w:r>
      <w:r w:rsidR="00C44711" w:rsidRPr="00D62528">
        <w:rPr>
          <w:rFonts w:ascii="Arial" w:hAnsi="Arial" w:cs="Arial"/>
          <w:sz w:val="22"/>
          <w:szCs w:val="22"/>
        </w:rPr>
        <w:t>complied with.</w:t>
      </w:r>
      <w:r>
        <w:rPr>
          <w:rFonts w:ascii="Arial" w:hAnsi="Arial" w:cs="Arial"/>
          <w:sz w:val="22"/>
          <w:szCs w:val="22"/>
          <w:lang w:val="en-US"/>
        </w:rPr>
        <w:t>”</w:t>
      </w:r>
    </w:p>
    <w:p w14:paraId="2AC0ECC8" w14:textId="77777777" w:rsidR="00C44711" w:rsidRPr="00ED541E" w:rsidRDefault="00C44711" w:rsidP="00F355DB">
      <w:pPr>
        <w:pStyle w:val="ListParagraph"/>
        <w:spacing w:line="480" w:lineRule="auto"/>
        <w:ind w:left="0"/>
        <w:jc w:val="both"/>
        <w:rPr>
          <w:rFonts w:ascii="Arial" w:hAnsi="Arial" w:cs="Arial"/>
          <w:lang w:val="en-US"/>
        </w:rPr>
      </w:pPr>
    </w:p>
    <w:p w14:paraId="46488FD8" w14:textId="42E54148" w:rsidR="00C44711" w:rsidRPr="00160333" w:rsidRDefault="00C44711"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 xml:space="preserve">According to Mr </w:t>
      </w:r>
      <w:r w:rsidR="005D750E" w:rsidRPr="00160333">
        <w:rPr>
          <w:rFonts w:ascii="Arial" w:hAnsi="Arial" w:cs="Arial"/>
          <w:sz w:val="24"/>
          <w:szCs w:val="24"/>
          <w:lang w:val="en-US"/>
        </w:rPr>
        <w:t>Ravenscroft-Jones</w:t>
      </w:r>
      <w:r w:rsidRPr="00160333">
        <w:rPr>
          <w:rFonts w:ascii="Arial" w:hAnsi="Arial" w:cs="Arial"/>
          <w:sz w:val="24"/>
          <w:szCs w:val="24"/>
          <w:lang w:val="en-US"/>
        </w:rPr>
        <w:t xml:space="preserve">, River View had not pleaded any facts capable of engaging the </w:t>
      </w:r>
      <w:r w:rsidRPr="00160333">
        <w:rPr>
          <w:rFonts w:ascii="Arial" w:hAnsi="Arial" w:cs="Arial"/>
          <w:i/>
          <w:sz w:val="24"/>
          <w:szCs w:val="24"/>
          <w:lang w:val="en-US"/>
        </w:rPr>
        <w:t xml:space="preserve">Turquand </w:t>
      </w:r>
      <w:r w:rsidRPr="00160333">
        <w:rPr>
          <w:rFonts w:ascii="Arial" w:hAnsi="Arial" w:cs="Arial"/>
          <w:sz w:val="24"/>
          <w:szCs w:val="24"/>
          <w:lang w:val="en-US"/>
        </w:rPr>
        <w:t xml:space="preserve">rule. The facts it pleaded are that </w:t>
      </w:r>
      <w:r w:rsidR="00D62528" w:rsidRPr="00160333">
        <w:rPr>
          <w:rFonts w:ascii="Arial" w:hAnsi="Arial" w:cs="Arial"/>
          <w:sz w:val="24"/>
          <w:szCs w:val="24"/>
          <w:lang w:val="en-US"/>
        </w:rPr>
        <w:t>the DTA’s regional representatives</w:t>
      </w:r>
      <w:r w:rsidRPr="00160333">
        <w:rPr>
          <w:rFonts w:ascii="Arial" w:hAnsi="Arial" w:cs="Arial"/>
          <w:sz w:val="24"/>
          <w:szCs w:val="24"/>
          <w:lang w:val="en-US"/>
        </w:rPr>
        <w:t xml:space="preserve"> orally and in writing offered the property and</w:t>
      </w:r>
      <w:r w:rsidR="00A56CB0" w:rsidRPr="00160333">
        <w:rPr>
          <w:rFonts w:ascii="Arial" w:hAnsi="Arial" w:cs="Arial"/>
          <w:sz w:val="24"/>
          <w:szCs w:val="24"/>
          <w:lang w:val="en-US"/>
        </w:rPr>
        <w:t xml:space="preserve"> secondly that </w:t>
      </w:r>
      <w:r w:rsidR="00893007">
        <w:rPr>
          <w:rFonts w:ascii="Arial" w:hAnsi="Arial" w:cs="Arial"/>
          <w:sz w:val="24"/>
          <w:szCs w:val="24"/>
          <w:lang w:val="en-US"/>
        </w:rPr>
        <w:t xml:space="preserve">Mr </w:t>
      </w:r>
      <w:r w:rsidR="00A56CB0" w:rsidRPr="00160333">
        <w:rPr>
          <w:rFonts w:ascii="Arial" w:hAnsi="Arial" w:cs="Arial"/>
          <w:sz w:val="24"/>
          <w:szCs w:val="24"/>
          <w:lang w:val="en-US"/>
        </w:rPr>
        <w:t>Kashera was the r</w:t>
      </w:r>
      <w:r w:rsidRPr="00160333">
        <w:rPr>
          <w:rFonts w:ascii="Arial" w:hAnsi="Arial" w:cs="Arial"/>
          <w:sz w:val="24"/>
          <w:szCs w:val="24"/>
          <w:lang w:val="en-US"/>
        </w:rPr>
        <w:t xml:space="preserve">egional </w:t>
      </w:r>
      <w:r w:rsidR="00E13155" w:rsidRPr="00160333">
        <w:rPr>
          <w:rFonts w:ascii="Arial" w:hAnsi="Arial" w:cs="Arial"/>
          <w:sz w:val="24"/>
          <w:szCs w:val="24"/>
          <w:lang w:val="en-US"/>
        </w:rPr>
        <w:t>coordinator of</w:t>
      </w:r>
      <w:r w:rsidRPr="00160333">
        <w:rPr>
          <w:rFonts w:ascii="Arial" w:hAnsi="Arial" w:cs="Arial"/>
          <w:sz w:val="24"/>
          <w:szCs w:val="24"/>
          <w:lang w:val="en-US"/>
        </w:rPr>
        <w:t xml:space="preserve"> the DTA. River View never pleaded that it was acting in good faith.</w:t>
      </w:r>
    </w:p>
    <w:p w14:paraId="6D994081" w14:textId="77777777" w:rsidR="0059562E" w:rsidRPr="007E16E4" w:rsidRDefault="0059562E" w:rsidP="00F355DB">
      <w:pPr>
        <w:pStyle w:val="ListParagraph"/>
        <w:spacing w:line="480" w:lineRule="auto"/>
        <w:ind w:left="0"/>
        <w:jc w:val="both"/>
        <w:rPr>
          <w:rFonts w:ascii="Arial" w:hAnsi="Arial" w:cs="Arial"/>
          <w:u w:val="single"/>
          <w:lang w:val="en-US"/>
        </w:rPr>
      </w:pPr>
    </w:p>
    <w:p w14:paraId="7E62F0B2" w14:textId="34B8CA83" w:rsidR="00AB619A" w:rsidRPr="00160333" w:rsidRDefault="00AB619A" w:rsidP="00F355DB">
      <w:pPr>
        <w:spacing w:line="480" w:lineRule="auto"/>
        <w:jc w:val="both"/>
        <w:rPr>
          <w:rFonts w:ascii="Arial" w:hAnsi="Arial" w:cs="Arial"/>
          <w:u w:val="single"/>
          <w:lang w:val="en-US"/>
        </w:rPr>
      </w:pPr>
      <w:r w:rsidRPr="00160333">
        <w:rPr>
          <w:rFonts w:ascii="Arial" w:hAnsi="Arial" w:cs="Arial"/>
          <w:u w:val="single"/>
          <w:lang w:val="en-US"/>
        </w:rPr>
        <w:t>Discussion</w:t>
      </w:r>
    </w:p>
    <w:p w14:paraId="6880ACE4" w14:textId="028C8D45" w:rsidR="00FA5AE8" w:rsidRPr="00160333" w:rsidRDefault="0059562E"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This appeal turns on whether on the proven and undisputed facts, River View’s defence</w:t>
      </w:r>
      <w:r w:rsidR="00DA155A" w:rsidRPr="00160333">
        <w:rPr>
          <w:rFonts w:ascii="Arial" w:hAnsi="Arial" w:cs="Arial"/>
          <w:sz w:val="24"/>
          <w:szCs w:val="24"/>
          <w:lang w:val="en-US"/>
        </w:rPr>
        <w:t>s</w:t>
      </w:r>
      <w:r w:rsidRPr="00160333">
        <w:rPr>
          <w:rFonts w:ascii="Arial" w:hAnsi="Arial" w:cs="Arial"/>
          <w:sz w:val="24"/>
          <w:szCs w:val="24"/>
          <w:lang w:val="en-US"/>
        </w:rPr>
        <w:t xml:space="preserve"> against DTA’s claim for the re</w:t>
      </w:r>
      <w:r w:rsidR="00145FED">
        <w:rPr>
          <w:rFonts w:ascii="Arial" w:hAnsi="Arial" w:cs="Arial"/>
          <w:sz w:val="24"/>
          <w:szCs w:val="24"/>
          <w:lang w:val="en-US"/>
        </w:rPr>
        <w:t>-</w:t>
      </w:r>
      <w:r w:rsidRPr="00160333">
        <w:rPr>
          <w:rFonts w:ascii="Arial" w:hAnsi="Arial" w:cs="Arial"/>
          <w:sz w:val="24"/>
          <w:szCs w:val="24"/>
          <w:lang w:val="en-US"/>
        </w:rPr>
        <w:t xml:space="preserve">transfer of the disputed land into its name can be sustained either on the </w:t>
      </w:r>
      <w:r w:rsidR="0049058D" w:rsidRPr="00160333">
        <w:rPr>
          <w:rFonts w:ascii="Arial" w:hAnsi="Arial" w:cs="Arial"/>
          <w:i/>
          <w:sz w:val="24"/>
          <w:szCs w:val="24"/>
          <w:lang w:val="en-US"/>
        </w:rPr>
        <w:t>Turquand</w:t>
      </w:r>
      <w:r w:rsidR="0049058D" w:rsidRPr="00160333">
        <w:rPr>
          <w:rFonts w:ascii="Arial" w:hAnsi="Arial" w:cs="Arial"/>
          <w:sz w:val="24"/>
          <w:szCs w:val="24"/>
          <w:lang w:val="en-US"/>
        </w:rPr>
        <w:t xml:space="preserve"> rule or the </w:t>
      </w:r>
      <w:r w:rsidRPr="00160333">
        <w:rPr>
          <w:rFonts w:ascii="Arial" w:hAnsi="Arial" w:cs="Arial"/>
          <w:sz w:val="24"/>
          <w:szCs w:val="24"/>
          <w:lang w:val="en-US"/>
        </w:rPr>
        <w:t>doc</w:t>
      </w:r>
      <w:r w:rsidR="0049058D" w:rsidRPr="00160333">
        <w:rPr>
          <w:rFonts w:ascii="Arial" w:hAnsi="Arial" w:cs="Arial"/>
          <w:sz w:val="24"/>
          <w:szCs w:val="24"/>
          <w:lang w:val="en-US"/>
        </w:rPr>
        <w:t>trine of ostensible authority</w:t>
      </w:r>
      <w:r w:rsidRPr="00160333">
        <w:rPr>
          <w:rFonts w:ascii="Arial" w:hAnsi="Arial" w:cs="Arial"/>
          <w:sz w:val="24"/>
          <w:szCs w:val="24"/>
          <w:lang w:val="en-US"/>
        </w:rPr>
        <w:t>.</w:t>
      </w:r>
    </w:p>
    <w:p w14:paraId="1646A4F2" w14:textId="77777777" w:rsidR="009577A6" w:rsidRPr="00160333" w:rsidRDefault="009577A6" w:rsidP="00F355DB">
      <w:pPr>
        <w:pStyle w:val="ListParagraph"/>
        <w:spacing w:line="480" w:lineRule="auto"/>
        <w:ind w:left="0"/>
        <w:jc w:val="both"/>
        <w:rPr>
          <w:rFonts w:ascii="Arial" w:hAnsi="Arial" w:cs="Arial"/>
          <w:i/>
          <w:iCs/>
          <w:lang w:val="en-US"/>
        </w:rPr>
      </w:pPr>
    </w:p>
    <w:p w14:paraId="2F32A5EA" w14:textId="4F2BE161" w:rsidR="009577A6" w:rsidRPr="00160333" w:rsidRDefault="007B2FDB" w:rsidP="00F355DB">
      <w:pPr>
        <w:pStyle w:val="ListParagraph"/>
        <w:spacing w:line="480" w:lineRule="auto"/>
        <w:ind w:left="0"/>
        <w:jc w:val="both"/>
        <w:rPr>
          <w:rFonts w:ascii="Arial" w:hAnsi="Arial" w:cs="Arial"/>
          <w:i/>
          <w:iCs/>
          <w:lang w:val="en-US"/>
        </w:rPr>
      </w:pPr>
      <w:r w:rsidRPr="00160333">
        <w:rPr>
          <w:rFonts w:ascii="Arial" w:hAnsi="Arial" w:cs="Arial"/>
          <w:i/>
          <w:iCs/>
          <w:lang w:val="en-US"/>
        </w:rPr>
        <w:lastRenderedPageBreak/>
        <w:t xml:space="preserve">Turquand rule </w:t>
      </w:r>
    </w:p>
    <w:p w14:paraId="26242824" w14:textId="16418D4A" w:rsidR="00B26530" w:rsidRPr="007535FC" w:rsidRDefault="003230D4" w:rsidP="00DC3BD6">
      <w:pPr>
        <w:pStyle w:val="NoSpacing"/>
        <w:numPr>
          <w:ilvl w:val="0"/>
          <w:numId w:val="7"/>
        </w:numPr>
        <w:spacing w:line="480" w:lineRule="auto"/>
        <w:ind w:left="0" w:firstLine="0"/>
        <w:jc w:val="both"/>
        <w:rPr>
          <w:rFonts w:ascii="Arial" w:hAnsi="Arial" w:cs="Arial"/>
          <w:lang w:val="en-US"/>
        </w:rPr>
      </w:pPr>
      <w:r w:rsidRPr="007535FC">
        <w:rPr>
          <w:rFonts w:ascii="Arial" w:hAnsi="Arial" w:cs="Arial"/>
          <w:sz w:val="24"/>
          <w:szCs w:val="24"/>
          <w:lang w:val="en-US"/>
        </w:rPr>
        <w:t xml:space="preserve">The </w:t>
      </w:r>
      <w:r w:rsidRPr="007535FC">
        <w:rPr>
          <w:rFonts w:ascii="Arial" w:hAnsi="Arial" w:cs="Arial"/>
          <w:i/>
          <w:sz w:val="24"/>
          <w:szCs w:val="24"/>
          <w:lang w:val="en-US"/>
        </w:rPr>
        <w:t>Turquand</w:t>
      </w:r>
      <w:r w:rsidRPr="007535FC">
        <w:rPr>
          <w:rFonts w:ascii="Arial" w:hAnsi="Arial" w:cs="Arial"/>
          <w:sz w:val="24"/>
          <w:szCs w:val="24"/>
          <w:lang w:val="en-US"/>
        </w:rPr>
        <w:t xml:space="preserve"> rule operates to ameliorate the severity of the principle of constructive notice in terms of which persons contracting with a body corporate or </w:t>
      </w:r>
      <w:r w:rsidRPr="007535FC">
        <w:rPr>
          <w:rFonts w:ascii="Arial" w:hAnsi="Arial" w:cs="Arial"/>
          <w:i/>
          <w:sz w:val="24"/>
          <w:szCs w:val="24"/>
          <w:lang w:val="en-US"/>
        </w:rPr>
        <w:t>universitas</w:t>
      </w:r>
      <w:r w:rsidRPr="007535FC">
        <w:rPr>
          <w:rFonts w:ascii="Arial" w:hAnsi="Arial" w:cs="Arial"/>
          <w:sz w:val="24"/>
          <w:szCs w:val="24"/>
          <w:lang w:val="en-US"/>
        </w:rPr>
        <w:t xml:space="preserve"> </w:t>
      </w:r>
      <w:r w:rsidR="009577A6" w:rsidRPr="007535FC">
        <w:rPr>
          <w:rFonts w:ascii="Arial" w:hAnsi="Arial" w:cs="Arial"/>
          <w:sz w:val="24"/>
          <w:szCs w:val="24"/>
          <w:lang w:val="en-US"/>
        </w:rPr>
        <w:t xml:space="preserve">such as the DTA </w:t>
      </w:r>
      <w:r w:rsidRPr="007535FC">
        <w:rPr>
          <w:rFonts w:ascii="Arial" w:hAnsi="Arial" w:cs="Arial"/>
          <w:sz w:val="24"/>
          <w:szCs w:val="24"/>
          <w:lang w:val="en-US"/>
        </w:rPr>
        <w:t xml:space="preserve">are </w:t>
      </w:r>
      <w:r w:rsidR="009577A6" w:rsidRPr="007535FC">
        <w:rPr>
          <w:rFonts w:ascii="Arial" w:hAnsi="Arial" w:cs="Arial"/>
          <w:sz w:val="24"/>
          <w:szCs w:val="24"/>
          <w:lang w:val="en-US"/>
        </w:rPr>
        <w:t>‘</w:t>
      </w:r>
      <w:r w:rsidRPr="007535FC">
        <w:rPr>
          <w:rFonts w:ascii="Arial" w:hAnsi="Arial" w:cs="Arial"/>
          <w:sz w:val="24"/>
          <w:szCs w:val="24"/>
          <w:lang w:val="en-US"/>
        </w:rPr>
        <w:t>deemed to know</w:t>
      </w:r>
      <w:r w:rsidR="009577A6" w:rsidRPr="007535FC">
        <w:rPr>
          <w:rFonts w:ascii="Arial" w:hAnsi="Arial" w:cs="Arial"/>
          <w:sz w:val="24"/>
          <w:szCs w:val="24"/>
          <w:lang w:val="en-US"/>
        </w:rPr>
        <w:t>’</w:t>
      </w:r>
      <w:r w:rsidRPr="007535FC">
        <w:rPr>
          <w:rFonts w:ascii="Arial" w:hAnsi="Arial" w:cs="Arial"/>
          <w:sz w:val="24"/>
          <w:szCs w:val="24"/>
          <w:lang w:val="en-US"/>
        </w:rPr>
        <w:t xml:space="preserve"> </w:t>
      </w:r>
      <w:r w:rsidR="00C07C3B" w:rsidRPr="007535FC">
        <w:rPr>
          <w:rFonts w:ascii="Arial" w:hAnsi="Arial" w:cs="Arial"/>
          <w:sz w:val="24"/>
          <w:szCs w:val="24"/>
          <w:lang w:val="en-US"/>
        </w:rPr>
        <w:t xml:space="preserve">the </w:t>
      </w:r>
      <w:r w:rsidR="00D028DA" w:rsidRPr="007535FC">
        <w:rPr>
          <w:rFonts w:ascii="Arial" w:hAnsi="Arial" w:cs="Arial"/>
          <w:sz w:val="24"/>
          <w:szCs w:val="24"/>
          <w:lang w:val="en-US"/>
        </w:rPr>
        <w:t xml:space="preserve">contents of the company’s </w:t>
      </w:r>
      <w:r w:rsidR="00971A91" w:rsidRPr="007535FC">
        <w:rPr>
          <w:rFonts w:ascii="Arial" w:hAnsi="Arial" w:cs="Arial"/>
          <w:sz w:val="24"/>
          <w:szCs w:val="24"/>
          <w:lang w:val="en-US"/>
        </w:rPr>
        <w:t>(</w:t>
      </w:r>
      <w:r w:rsidR="00D028DA" w:rsidRPr="007535FC">
        <w:rPr>
          <w:rFonts w:ascii="Arial" w:hAnsi="Arial" w:cs="Arial"/>
          <w:sz w:val="24"/>
          <w:szCs w:val="24"/>
          <w:lang w:val="en-US"/>
        </w:rPr>
        <w:t>or an association’s</w:t>
      </w:r>
      <w:r w:rsidR="00971A91" w:rsidRPr="007535FC">
        <w:rPr>
          <w:rFonts w:ascii="Arial" w:hAnsi="Arial" w:cs="Arial"/>
          <w:sz w:val="24"/>
          <w:szCs w:val="24"/>
          <w:lang w:val="en-US"/>
        </w:rPr>
        <w:t>)</w:t>
      </w:r>
      <w:r w:rsidR="00D028DA" w:rsidRPr="007535FC">
        <w:rPr>
          <w:rFonts w:ascii="Arial" w:hAnsi="Arial" w:cs="Arial"/>
          <w:sz w:val="24"/>
          <w:szCs w:val="24"/>
          <w:lang w:val="en-US"/>
        </w:rPr>
        <w:t xml:space="preserve"> constitutive documents such as the articles and memorandum </w:t>
      </w:r>
      <w:r w:rsidR="009577A6" w:rsidRPr="007535FC">
        <w:rPr>
          <w:rFonts w:ascii="Arial" w:hAnsi="Arial" w:cs="Arial"/>
          <w:sz w:val="24"/>
          <w:szCs w:val="24"/>
          <w:lang w:val="en-US"/>
        </w:rPr>
        <w:t xml:space="preserve">of association </w:t>
      </w:r>
      <w:r w:rsidR="007535FC">
        <w:rPr>
          <w:rFonts w:ascii="Arial" w:hAnsi="Arial" w:cs="Arial"/>
          <w:sz w:val="24"/>
          <w:szCs w:val="24"/>
          <w:lang w:val="en-US"/>
        </w:rPr>
        <w:t>or</w:t>
      </w:r>
      <w:r w:rsidR="00D028DA" w:rsidRPr="007535FC">
        <w:rPr>
          <w:rFonts w:ascii="Arial" w:hAnsi="Arial" w:cs="Arial"/>
          <w:sz w:val="24"/>
          <w:szCs w:val="24"/>
          <w:lang w:val="en-US"/>
        </w:rPr>
        <w:t xml:space="preserve"> constitution. In other words, the doctrine operates ‘in the negative’</w:t>
      </w:r>
      <w:r w:rsidRPr="007535FC">
        <w:rPr>
          <w:rFonts w:ascii="Arial" w:hAnsi="Arial" w:cs="Arial"/>
          <w:sz w:val="24"/>
          <w:szCs w:val="24"/>
          <w:lang w:val="en-US"/>
        </w:rPr>
        <w:t xml:space="preserve"> </w:t>
      </w:r>
      <w:r w:rsidR="00D028DA" w:rsidRPr="007535FC">
        <w:rPr>
          <w:rFonts w:ascii="Arial" w:hAnsi="Arial" w:cs="Arial"/>
          <w:sz w:val="24"/>
          <w:szCs w:val="24"/>
          <w:lang w:val="en-US"/>
        </w:rPr>
        <w:t xml:space="preserve">against the person contracting with the company or association </w:t>
      </w:r>
      <w:r w:rsidR="009577A6" w:rsidRPr="007535FC">
        <w:rPr>
          <w:rFonts w:ascii="Arial" w:hAnsi="Arial" w:cs="Arial"/>
          <w:sz w:val="24"/>
          <w:szCs w:val="24"/>
          <w:lang w:val="en-US"/>
        </w:rPr>
        <w:t xml:space="preserve">and </w:t>
      </w:r>
      <w:r w:rsidR="00D028DA" w:rsidRPr="007535FC">
        <w:rPr>
          <w:rFonts w:ascii="Arial" w:hAnsi="Arial" w:cs="Arial"/>
          <w:sz w:val="24"/>
          <w:szCs w:val="24"/>
          <w:lang w:val="en-US"/>
        </w:rPr>
        <w:t xml:space="preserve">who failed to inquire about the </w:t>
      </w:r>
      <w:r w:rsidR="009577A6" w:rsidRPr="007535FC">
        <w:rPr>
          <w:rFonts w:ascii="Arial" w:hAnsi="Arial" w:cs="Arial"/>
          <w:sz w:val="24"/>
          <w:szCs w:val="24"/>
          <w:lang w:val="en-US"/>
        </w:rPr>
        <w:t xml:space="preserve">authority </w:t>
      </w:r>
      <w:r w:rsidR="00B26530" w:rsidRPr="007535FC">
        <w:rPr>
          <w:rFonts w:ascii="Arial" w:hAnsi="Arial" w:cs="Arial"/>
          <w:sz w:val="24"/>
          <w:szCs w:val="24"/>
          <w:lang w:val="en-US"/>
        </w:rPr>
        <w:t xml:space="preserve">of </w:t>
      </w:r>
      <w:r w:rsidR="00D028DA" w:rsidRPr="007535FC">
        <w:rPr>
          <w:rFonts w:ascii="Arial" w:hAnsi="Arial" w:cs="Arial"/>
          <w:sz w:val="24"/>
          <w:szCs w:val="24"/>
          <w:lang w:val="en-US"/>
        </w:rPr>
        <w:t xml:space="preserve">those with whom he </w:t>
      </w:r>
      <w:r w:rsidR="009577A6" w:rsidRPr="007535FC">
        <w:rPr>
          <w:rFonts w:ascii="Arial" w:hAnsi="Arial" w:cs="Arial"/>
          <w:sz w:val="24"/>
          <w:szCs w:val="24"/>
          <w:lang w:val="en-US"/>
        </w:rPr>
        <w:t xml:space="preserve">or she </w:t>
      </w:r>
      <w:r w:rsidR="00D028DA" w:rsidRPr="007535FC">
        <w:rPr>
          <w:rFonts w:ascii="Arial" w:hAnsi="Arial" w:cs="Arial"/>
          <w:sz w:val="24"/>
          <w:szCs w:val="24"/>
          <w:lang w:val="en-US"/>
        </w:rPr>
        <w:t>seeks to transact.</w:t>
      </w:r>
      <w:r w:rsidR="00D028DA" w:rsidRPr="00160333">
        <w:rPr>
          <w:rStyle w:val="FootnoteReference"/>
          <w:rFonts w:ascii="Arial" w:hAnsi="Arial" w:cs="Arial"/>
          <w:sz w:val="24"/>
          <w:szCs w:val="24"/>
          <w:lang w:val="en-US"/>
        </w:rPr>
        <w:footnoteReference w:id="8"/>
      </w:r>
      <w:r w:rsidR="00260EDE" w:rsidRPr="007535FC">
        <w:rPr>
          <w:rFonts w:ascii="Arial" w:hAnsi="Arial" w:cs="Arial"/>
          <w:sz w:val="24"/>
          <w:szCs w:val="24"/>
          <w:lang w:val="en-US"/>
        </w:rPr>
        <w:t xml:space="preserve"> </w:t>
      </w:r>
    </w:p>
    <w:p w14:paraId="526ADA19" w14:textId="77777777" w:rsidR="007535FC" w:rsidRPr="007535FC" w:rsidRDefault="007535FC" w:rsidP="007535FC">
      <w:pPr>
        <w:pStyle w:val="NoSpacing"/>
        <w:spacing w:line="480" w:lineRule="auto"/>
        <w:jc w:val="both"/>
        <w:rPr>
          <w:rFonts w:ascii="Arial" w:hAnsi="Arial" w:cs="Arial"/>
          <w:lang w:val="en-US"/>
        </w:rPr>
      </w:pPr>
    </w:p>
    <w:p w14:paraId="7D5D14F1" w14:textId="22E60F5A" w:rsidR="00260EDE" w:rsidRDefault="00971A91" w:rsidP="00160333">
      <w:pPr>
        <w:pStyle w:val="NoSpacing"/>
        <w:numPr>
          <w:ilvl w:val="0"/>
          <w:numId w:val="7"/>
        </w:numPr>
        <w:spacing w:line="480" w:lineRule="auto"/>
        <w:ind w:left="0" w:firstLine="0"/>
        <w:jc w:val="both"/>
        <w:rPr>
          <w:rFonts w:ascii="Arial" w:hAnsi="Arial" w:cs="Arial"/>
          <w:sz w:val="24"/>
          <w:szCs w:val="24"/>
          <w:lang w:val="en-US"/>
        </w:rPr>
      </w:pPr>
      <w:r>
        <w:rPr>
          <w:rFonts w:ascii="Arial" w:hAnsi="Arial" w:cs="Arial"/>
          <w:sz w:val="24"/>
          <w:szCs w:val="24"/>
          <w:lang w:val="en-US"/>
        </w:rPr>
        <w:t xml:space="preserve">On the other hand, </w:t>
      </w:r>
      <w:r w:rsidR="00260EDE" w:rsidRPr="00160333">
        <w:rPr>
          <w:rFonts w:ascii="Arial" w:hAnsi="Arial" w:cs="Arial"/>
          <w:sz w:val="24"/>
          <w:szCs w:val="24"/>
          <w:lang w:val="en-US"/>
        </w:rPr>
        <w:t xml:space="preserve">as the learned authors of </w:t>
      </w:r>
      <w:r w:rsidR="00260EDE" w:rsidRPr="00160333">
        <w:rPr>
          <w:rFonts w:ascii="Arial" w:hAnsi="Arial" w:cs="Arial"/>
          <w:i/>
          <w:sz w:val="24"/>
          <w:szCs w:val="24"/>
          <w:lang w:val="en-US"/>
        </w:rPr>
        <w:t>Lawsa</w:t>
      </w:r>
      <w:r w:rsidR="000E275F">
        <w:rPr>
          <w:rFonts w:ascii="Arial" w:hAnsi="Arial" w:cs="Arial"/>
          <w:sz w:val="24"/>
          <w:szCs w:val="24"/>
          <w:lang w:val="en-US"/>
        </w:rPr>
        <w:t xml:space="preserve"> correctly point out:</w:t>
      </w:r>
    </w:p>
    <w:p w14:paraId="371E5D17" w14:textId="77777777" w:rsidR="000E275F" w:rsidRPr="00160333" w:rsidRDefault="000E275F" w:rsidP="000E275F">
      <w:pPr>
        <w:pStyle w:val="NoSpacing"/>
        <w:spacing w:line="480" w:lineRule="auto"/>
        <w:jc w:val="both"/>
        <w:rPr>
          <w:rFonts w:ascii="Arial" w:hAnsi="Arial" w:cs="Arial"/>
          <w:sz w:val="24"/>
          <w:szCs w:val="24"/>
          <w:lang w:val="en-US"/>
        </w:rPr>
      </w:pPr>
    </w:p>
    <w:p w14:paraId="0CA6F40C" w14:textId="54D24158" w:rsidR="007B2FDB" w:rsidRPr="00160333" w:rsidRDefault="00260EDE" w:rsidP="000E275F">
      <w:pPr>
        <w:pStyle w:val="ListParagraph"/>
        <w:spacing w:line="360" w:lineRule="auto"/>
        <w:contextualSpacing w:val="0"/>
        <w:jc w:val="both"/>
        <w:rPr>
          <w:rFonts w:ascii="Arial" w:hAnsi="Arial" w:cs="Arial"/>
          <w:lang w:val="en-US"/>
        </w:rPr>
      </w:pPr>
      <w:r w:rsidRPr="00893007">
        <w:rPr>
          <w:rFonts w:ascii="Arial" w:hAnsi="Arial" w:cs="Arial"/>
          <w:sz w:val="22"/>
          <w:szCs w:val="22"/>
          <w:lang w:val="en-US"/>
        </w:rPr>
        <w:t>‘Although a person dealing with a company has constructive notice of all internal formalities required by its memorandum and articles, he of course does not have constructive notice of whether or not they have been complied with; and he is not obliged to inquire.</w:t>
      </w:r>
      <w:r w:rsidRPr="00160333">
        <w:rPr>
          <w:rFonts w:ascii="Arial" w:hAnsi="Arial" w:cs="Arial"/>
          <w:lang w:val="en-US"/>
        </w:rPr>
        <w:t>’</w:t>
      </w:r>
      <w:r w:rsidRPr="00160333">
        <w:rPr>
          <w:rStyle w:val="FootnoteReference"/>
          <w:rFonts w:ascii="Arial" w:hAnsi="Arial" w:cs="Arial"/>
          <w:lang w:val="en-US"/>
        </w:rPr>
        <w:footnoteReference w:id="9"/>
      </w:r>
    </w:p>
    <w:p w14:paraId="5EC316CB" w14:textId="77777777" w:rsidR="003230D4" w:rsidRDefault="003230D4" w:rsidP="00F355DB">
      <w:pPr>
        <w:pStyle w:val="ListParagraph"/>
        <w:spacing w:line="480" w:lineRule="auto"/>
        <w:ind w:left="0"/>
        <w:contextualSpacing w:val="0"/>
        <w:jc w:val="both"/>
        <w:rPr>
          <w:rFonts w:ascii="Arial" w:hAnsi="Arial" w:cs="Arial"/>
          <w:lang w:val="en-US"/>
        </w:rPr>
      </w:pPr>
    </w:p>
    <w:p w14:paraId="683DE3A5" w14:textId="10A4200C" w:rsidR="007535FC" w:rsidRPr="007535FC" w:rsidRDefault="003230D4" w:rsidP="007535FC">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 xml:space="preserve">The effect of </w:t>
      </w:r>
      <w:r w:rsidR="00F72BA0" w:rsidRPr="00160333">
        <w:rPr>
          <w:rFonts w:ascii="Arial" w:hAnsi="Arial" w:cs="Arial"/>
          <w:sz w:val="24"/>
          <w:szCs w:val="24"/>
          <w:lang w:val="en-US"/>
        </w:rPr>
        <w:t xml:space="preserve">the </w:t>
      </w:r>
      <w:r w:rsidRPr="00160333">
        <w:rPr>
          <w:rFonts w:ascii="Arial" w:hAnsi="Arial" w:cs="Arial"/>
          <w:i/>
          <w:sz w:val="24"/>
          <w:szCs w:val="24"/>
          <w:lang w:val="en-US"/>
        </w:rPr>
        <w:t>Turquand</w:t>
      </w:r>
      <w:r w:rsidR="00F72BA0" w:rsidRPr="00160333">
        <w:rPr>
          <w:rFonts w:ascii="Arial" w:hAnsi="Arial" w:cs="Arial"/>
          <w:i/>
          <w:sz w:val="24"/>
          <w:szCs w:val="24"/>
          <w:lang w:val="en-US"/>
        </w:rPr>
        <w:t xml:space="preserve"> </w:t>
      </w:r>
      <w:r w:rsidR="00F72BA0" w:rsidRPr="00160333">
        <w:rPr>
          <w:rFonts w:ascii="Arial" w:hAnsi="Arial" w:cs="Arial"/>
          <w:sz w:val="24"/>
          <w:szCs w:val="24"/>
          <w:lang w:val="en-US"/>
        </w:rPr>
        <w:t>rule</w:t>
      </w:r>
      <w:r w:rsidRPr="00160333">
        <w:rPr>
          <w:rFonts w:ascii="Arial" w:hAnsi="Arial" w:cs="Arial"/>
          <w:sz w:val="24"/>
          <w:szCs w:val="24"/>
          <w:lang w:val="en-US"/>
        </w:rPr>
        <w:t>, borrowed from English law</w:t>
      </w:r>
      <w:r w:rsidRPr="00160333">
        <w:rPr>
          <w:rStyle w:val="FootnoteReference"/>
          <w:rFonts w:ascii="Arial" w:hAnsi="Arial" w:cs="Arial"/>
          <w:sz w:val="24"/>
          <w:szCs w:val="24"/>
          <w:lang w:val="en-US"/>
        </w:rPr>
        <w:footnoteReference w:id="10"/>
      </w:r>
      <w:r w:rsidRPr="00160333">
        <w:rPr>
          <w:rFonts w:ascii="Arial" w:hAnsi="Arial" w:cs="Arial"/>
          <w:sz w:val="24"/>
          <w:szCs w:val="24"/>
          <w:lang w:val="en-US"/>
        </w:rPr>
        <w:t>, is that in the absence of facts putting him or her on in</w:t>
      </w:r>
      <w:r w:rsidR="007535FC">
        <w:rPr>
          <w:rFonts w:ascii="Arial" w:hAnsi="Arial" w:cs="Arial"/>
          <w:sz w:val="24"/>
          <w:szCs w:val="24"/>
          <w:lang w:val="en-US"/>
        </w:rPr>
        <w:t>quiry, a person dealing with a</w:t>
      </w:r>
      <w:r w:rsidRPr="00160333">
        <w:rPr>
          <w:rFonts w:ascii="Arial" w:hAnsi="Arial" w:cs="Arial"/>
          <w:sz w:val="24"/>
          <w:szCs w:val="24"/>
          <w:lang w:val="en-US"/>
        </w:rPr>
        <w:t xml:space="preserve"> company</w:t>
      </w:r>
      <w:r w:rsidR="00B26530" w:rsidRPr="00160333">
        <w:rPr>
          <w:rFonts w:ascii="Arial" w:hAnsi="Arial" w:cs="Arial"/>
          <w:sz w:val="24"/>
          <w:szCs w:val="24"/>
          <w:lang w:val="en-US"/>
        </w:rPr>
        <w:t xml:space="preserve"> or association</w:t>
      </w:r>
      <w:r w:rsidRPr="00160333">
        <w:rPr>
          <w:rFonts w:ascii="Arial" w:hAnsi="Arial" w:cs="Arial"/>
          <w:sz w:val="24"/>
          <w:szCs w:val="24"/>
          <w:lang w:val="en-US"/>
        </w:rPr>
        <w:t xml:space="preserve"> is enti</w:t>
      </w:r>
      <w:r w:rsidR="004844D6" w:rsidRPr="00160333">
        <w:rPr>
          <w:rFonts w:ascii="Arial" w:hAnsi="Arial" w:cs="Arial"/>
          <w:sz w:val="24"/>
          <w:szCs w:val="24"/>
          <w:lang w:val="en-US"/>
        </w:rPr>
        <w:t>t</w:t>
      </w:r>
      <w:r w:rsidRPr="00160333">
        <w:rPr>
          <w:rFonts w:ascii="Arial" w:hAnsi="Arial" w:cs="Arial"/>
          <w:sz w:val="24"/>
          <w:szCs w:val="24"/>
          <w:lang w:val="en-US"/>
        </w:rPr>
        <w:t>led to assume that there has been due compliance with all matters of internal management and procedure required by the corporate constitution.</w:t>
      </w:r>
      <w:r w:rsidR="004844D6" w:rsidRPr="00160333">
        <w:rPr>
          <w:rFonts w:ascii="Arial" w:hAnsi="Arial" w:cs="Arial"/>
          <w:sz w:val="24"/>
          <w:szCs w:val="24"/>
          <w:lang w:val="en-US"/>
        </w:rPr>
        <w:t xml:space="preserve"> </w:t>
      </w:r>
      <w:r w:rsidR="007535FC" w:rsidRPr="007535FC">
        <w:rPr>
          <w:rFonts w:ascii="Arial" w:hAnsi="Arial" w:cs="Arial"/>
          <w:sz w:val="24"/>
          <w:szCs w:val="24"/>
          <w:lang w:val="en-US"/>
        </w:rPr>
        <w:t>The purpose of the rule, as Lord Simonds suggests, is to allow the wheels of business to go smoothly.</w:t>
      </w:r>
      <w:r w:rsidR="007535FC" w:rsidRPr="007535FC">
        <w:rPr>
          <w:rStyle w:val="FootnoteReference"/>
          <w:rFonts w:ascii="Arial" w:hAnsi="Arial" w:cs="Arial"/>
          <w:sz w:val="24"/>
          <w:szCs w:val="24"/>
          <w:lang w:val="en-US"/>
        </w:rPr>
        <w:footnoteReference w:id="11"/>
      </w:r>
    </w:p>
    <w:p w14:paraId="2215AD6A" w14:textId="77777777" w:rsidR="00BD0CA1" w:rsidRDefault="00BD0CA1" w:rsidP="00BD0CA1">
      <w:pPr>
        <w:pStyle w:val="NoSpacing"/>
        <w:spacing w:line="480" w:lineRule="auto"/>
        <w:jc w:val="both"/>
        <w:rPr>
          <w:rFonts w:ascii="Arial" w:hAnsi="Arial" w:cs="Arial"/>
          <w:sz w:val="24"/>
          <w:szCs w:val="24"/>
          <w:lang w:val="en-US"/>
        </w:rPr>
      </w:pPr>
    </w:p>
    <w:p w14:paraId="3E8C42C7" w14:textId="39190FE0" w:rsidR="003230D4" w:rsidRPr="00160333" w:rsidRDefault="00452349" w:rsidP="00160333">
      <w:pPr>
        <w:pStyle w:val="NoSpacing"/>
        <w:numPr>
          <w:ilvl w:val="0"/>
          <w:numId w:val="7"/>
        </w:numPr>
        <w:spacing w:line="480" w:lineRule="auto"/>
        <w:ind w:left="0" w:firstLine="0"/>
        <w:jc w:val="both"/>
        <w:rPr>
          <w:rFonts w:ascii="Arial" w:hAnsi="Arial" w:cs="Arial"/>
          <w:sz w:val="24"/>
          <w:szCs w:val="24"/>
          <w:lang w:val="en-US"/>
        </w:rPr>
      </w:pPr>
      <w:r>
        <w:rPr>
          <w:rFonts w:ascii="Arial" w:hAnsi="Arial" w:cs="Arial"/>
          <w:sz w:val="24"/>
          <w:szCs w:val="24"/>
          <w:lang w:val="en-US"/>
        </w:rPr>
        <w:lastRenderedPageBreak/>
        <w:t xml:space="preserve">There are limits to the </w:t>
      </w:r>
      <w:r w:rsidRPr="00BD0CA1">
        <w:rPr>
          <w:rFonts w:ascii="Arial" w:hAnsi="Arial" w:cs="Arial"/>
          <w:i/>
          <w:sz w:val="24"/>
          <w:szCs w:val="24"/>
          <w:lang w:val="en-US"/>
        </w:rPr>
        <w:t>Turquand</w:t>
      </w:r>
      <w:r>
        <w:rPr>
          <w:rFonts w:ascii="Arial" w:hAnsi="Arial" w:cs="Arial"/>
          <w:sz w:val="24"/>
          <w:szCs w:val="24"/>
          <w:lang w:val="en-US"/>
        </w:rPr>
        <w:t xml:space="preserve"> rule. </w:t>
      </w:r>
      <w:r w:rsidR="00BE62FA">
        <w:rPr>
          <w:rFonts w:ascii="Arial" w:hAnsi="Arial" w:cs="Arial"/>
          <w:sz w:val="24"/>
          <w:szCs w:val="24"/>
          <w:lang w:val="en-US"/>
        </w:rPr>
        <w:t>It</w:t>
      </w:r>
      <w:r w:rsidR="001A349B" w:rsidRPr="00160333">
        <w:rPr>
          <w:rFonts w:ascii="Arial" w:hAnsi="Arial" w:cs="Arial"/>
          <w:sz w:val="24"/>
          <w:szCs w:val="24"/>
          <w:lang w:val="en-US"/>
        </w:rPr>
        <w:t xml:space="preserve"> does not avail a third party that had failed to make further inquiries in circumstances that raise suspicion as to the authority of the </w:t>
      </w:r>
      <w:r w:rsidR="0049058D" w:rsidRPr="00160333">
        <w:rPr>
          <w:rFonts w:ascii="Arial" w:hAnsi="Arial" w:cs="Arial"/>
          <w:sz w:val="24"/>
          <w:szCs w:val="24"/>
          <w:lang w:val="en-US"/>
        </w:rPr>
        <w:t xml:space="preserve">purported </w:t>
      </w:r>
      <w:r w:rsidR="001A349B" w:rsidRPr="00160333">
        <w:rPr>
          <w:rFonts w:ascii="Arial" w:hAnsi="Arial" w:cs="Arial"/>
          <w:sz w:val="24"/>
          <w:szCs w:val="24"/>
          <w:lang w:val="en-US"/>
        </w:rPr>
        <w:t>agent.</w:t>
      </w:r>
      <w:r w:rsidR="001A349B" w:rsidRPr="00160333">
        <w:rPr>
          <w:rStyle w:val="FootnoteReference"/>
          <w:rFonts w:ascii="Arial" w:hAnsi="Arial" w:cs="Arial"/>
          <w:sz w:val="24"/>
          <w:szCs w:val="24"/>
          <w:lang w:val="en-US"/>
        </w:rPr>
        <w:footnoteReference w:id="12"/>
      </w:r>
      <w:r>
        <w:rPr>
          <w:rFonts w:ascii="Arial" w:hAnsi="Arial" w:cs="Arial"/>
          <w:sz w:val="24"/>
          <w:szCs w:val="24"/>
          <w:lang w:val="en-US"/>
        </w:rPr>
        <w:t xml:space="preserve"> The rule ‘cannot be used to create authority where none otherwise exists’</w:t>
      </w:r>
      <w:r w:rsidR="00E77EA3">
        <w:rPr>
          <w:rFonts w:ascii="Arial" w:hAnsi="Arial" w:cs="Arial"/>
          <w:sz w:val="24"/>
          <w:szCs w:val="24"/>
          <w:lang w:val="en-US"/>
        </w:rPr>
        <w:t>; and it</w:t>
      </w:r>
      <w:r>
        <w:rPr>
          <w:rFonts w:ascii="Arial" w:hAnsi="Arial" w:cs="Arial"/>
          <w:sz w:val="24"/>
          <w:szCs w:val="24"/>
          <w:lang w:val="en-US"/>
        </w:rPr>
        <w:t xml:space="preserve"> ‘only has scope for operation if it can be established independently that the person purporting to represent the company had actual or ostensible authority to enter into the transaction. The rule is thus dependent upon the operation of normal agency principles; it operates only where on ordinary principles the person purporting to act on behalf of the company is acting within the scope </w:t>
      </w:r>
      <w:r w:rsidR="00C834E0">
        <w:rPr>
          <w:rFonts w:ascii="Arial" w:hAnsi="Arial" w:cs="Arial"/>
          <w:sz w:val="24"/>
          <w:szCs w:val="24"/>
          <w:lang w:val="en-US"/>
        </w:rPr>
        <w:t>of his actual or ostensible authority’</w:t>
      </w:r>
      <w:r>
        <w:rPr>
          <w:rFonts w:ascii="Arial" w:hAnsi="Arial" w:cs="Arial"/>
          <w:sz w:val="24"/>
          <w:szCs w:val="24"/>
          <w:lang w:val="en-US"/>
        </w:rPr>
        <w:t>.</w:t>
      </w:r>
      <w:r w:rsidR="00BE62FA" w:rsidRPr="00BE62FA">
        <w:rPr>
          <w:rStyle w:val="FootnoteReference"/>
          <w:rFonts w:ascii="Arial" w:hAnsi="Arial" w:cs="Arial"/>
          <w:sz w:val="24"/>
          <w:szCs w:val="24"/>
          <w:lang w:val="en-US"/>
        </w:rPr>
        <w:t xml:space="preserve"> </w:t>
      </w:r>
      <w:r w:rsidR="00BE62FA">
        <w:rPr>
          <w:rStyle w:val="FootnoteReference"/>
          <w:rFonts w:ascii="Arial" w:hAnsi="Arial" w:cs="Arial"/>
          <w:sz w:val="24"/>
          <w:szCs w:val="24"/>
          <w:lang w:val="en-US"/>
        </w:rPr>
        <w:footnoteReference w:id="13"/>
      </w:r>
      <w:r w:rsidR="00D81B5E">
        <w:rPr>
          <w:rFonts w:ascii="Arial" w:hAnsi="Arial" w:cs="Arial"/>
          <w:sz w:val="24"/>
          <w:szCs w:val="24"/>
          <w:lang w:val="en-US"/>
        </w:rPr>
        <w:t xml:space="preserve"> This is not surprising because, as </w:t>
      </w:r>
      <w:r w:rsidR="007A25CE">
        <w:rPr>
          <w:rFonts w:ascii="Arial" w:hAnsi="Arial" w:cs="Arial"/>
          <w:sz w:val="24"/>
          <w:szCs w:val="24"/>
          <w:lang w:val="en-US"/>
        </w:rPr>
        <w:t>Sargant LJ</w:t>
      </w:r>
      <w:r w:rsidR="00D81B5E">
        <w:rPr>
          <w:rFonts w:ascii="Arial" w:hAnsi="Arial" w:cs="Arial"/>
          <w:sz w:val="24"/>
          <w:szCs w:val="24"/>
          <w:lang w:val="en-US"/>
        </w:rPr>
        <w:t xml:space="preserve"> warns in </w:t>
      </w:r>
      <w:r w:rsidR="007A25CE" w:rsidRPr="00460F0D">
        <w:rPr>
          <w:rFonts w:ascii="Arial" w:hAnsi="Arial" w:cs="Arial"/>
          <w:i/>
          <w:sz w:val="24"/>
          <w:szCs w:val="24"/>
          <w:lang w:val="en-US"/>
        </w:rPr>
        <w:t>Houghton &amp; Co v Northard, Lowe &amp; Wills Ltd</w:t>
      </w:r>
      <w:r w:rsidR="00B2319B">
        <w:rPr>
          <w:rFonts w:ascii="Arial" w:hAnsi="Arial" w:cs="Arial"/>
          <w:i/>
          <w:sz w:val="24"/>
          <w:szCs w:val="24"/>
          <w:lang w:val="en-US"/>
        </w:rPr>
        <w:t>,</w:t>
      </w:r>
      <w:r w:rsidR="007A25CE">
        <w:rPr>
          <w:rStyle w:val="FootnoteReference"/>
          <w:rFonts w:ascii="Arial" w:hAnsi="Arial" w:cs="Arial"/>
          <w:sz w:val="24"/>
          <w:szCs w:val="24"/>
          <w:lang w:val="en-US"/>
        </w:rPr>
        <w:footnoteReference w:id="14"/>
      </w:r>
      <w:r w:rsidR="00B2319B">
        <w:rPr>
          <w:rFonts w:ascii="Arial" w:hAnsi="Arial" w:cs="Arial"/>
          <w:i/>
          <w:sz w:val="24"/>
          <w:szCs w:val="24"/>
          <w:lang w:val="en-US"/>
        </w:rPr>
        <w:t xml:space="preserve"> </w:t>
      </w:r>
      <w:r w:rsidR="00460F0D">
        <w:rPr>
          <w:rFonts w:ascii="Arial" w:hAnsi="Arial" w:cs="Arial"/>
          <w:sz w:val="24"/>
          <w:szCs w:val="24"/>
          <w:lang w:val="en-US"/>
        </w:rPr>
        <w:t>without such limitation there</w:t>
      </w:r>
      <w:r w:rsidR="007A25CE">
        <w:rPr>
          <w:rFonts w:ascii="Arial" w:hAnsi="Arial" w:cs="Arial"/>
          <w:sz w:val="24"/>
          <w:szCs w:val="24"/>
          <w:lang w:val="en-US"/>
        </w:rPr>
        <w:t xml:space="preserve"> is a danger </w:t>
      </w:r>
      <w:r w:rsidR="00460F0D">
        <w:rPr>
          <w:rFonts w:ascii="Arial" w:hAnsi="Arial" w:cs="Arial"/>
          <w:sz w:val="24"/>
          <w:szCs w:val="24"/>
          <w:lang w:val="en-US"/>
        </w:rPr>
        <w:t xml:space="preserve">‘to place limited companies, without sufficient reason </w:t>
      </w:r>
      <w:r w:rsidR="00BE62FA">
        <w:rPr>
          <w:rFonts w:ascii="Arial" w:hAnsi="Arial" w:cs="Arial"/>
          <w:sz w:val="24"/>
          <w:szCs w:val="24"/>
          <w:lang w:val="en-US"/>
        </w:rPr>
        <w:t>for doing so, at the mercy of an</w:t>
      </w:r>
      <w:r w:rsidR="00460F0D">
        <w:rPr>
          <w:rFonts w:ascii="Arial" w:hAnsi="Arial" w:cs="Arial"/>
          <w:sz w:val="24"/>
          <w:szCs w:val="24"/>
          <w:lang w:val="en-US"/>
        </w:rPr>
        <w:t>y servant or agent who should purport to contract on their behalf.’</w:t>
      </w:r>
    </w:p>
    <w:p w14:paraId="63639FCB" w14:textId="77777777" w:rsidR="00410C8E" w:rsidRPr="00160333" w:rsidRDefault="00410C8E" w:rsidP="00F355DB">
      <w:pPr>
        <w:pStyle w:val="ListParagraph"/>
        <w:spacing w:line="480" w:lineRule="auto"/>
        <w:ind w:left="0"/>
        <w:contextualSpacing w:val="0"/>
        <w:jc w:val="both"/>
        <w:rPr>
          <w:rFonts w:ascii="Arial" w:hAnsi="Arial" w:cs="Arial"/>
          <w:lang w:val="en-US"/>
        </w:rPr>
      </w:pPr>
    </w:p>
    <w:p w14:paraId="7FF61F23" w14:textId="5D3F0CA5" w:rsidR="00410C8E" w:rsidRPr="00BE62FA" w:rsidRDefault="00426891" w:rsidP="00160333">
      <w:pPr>
        <w:pStyle w:val="NoSpacing"/>
        <w:numPr>
          <w:ilvl w:val="0"/>
          <w:numId w:val="7"/>
        </w:numPr>
        <w:spacing w:line="480" w:lineRule="auto"/>
        <w:ind w:left="0" w:firstLine="0"/>
        <w:jc w:val="both"/>
        <w:rPr>
          <w:rFonts w:ascii="Arial" w:hAnsi="Arial" w:cs="Arial"/>
          <w:sz w:val="24"/>
          <w:szCs w:val="24"/>
          <w:lang w:val="en-US"/>
        </w:rPr>
      </w:pPr>
      <w:r w:rsidRPr="00160333">
        <w:rPr>
          <w:rFonts w:ascii="Arial" w:hAnsi="Arial" w:cs="Arial"/>
          <w:sz w:val="24"/>
          <w:szCs w:val="24"/>
          <w:lang w:val="en-US"/>
        </w:rPr>
        <w:t>When one considers the South African cases, the application of the principle has been problematic, resulting in what seem</w:t>
      </w:r>
      <w:r w:rsidR="00B2319B">
        <w:rPr>
          <w:rFonts w:ascii="Arial" w:hAnsi="Arial" w:cs="Arial"/>
          <w:sz w:val="24"/>
          <w:szCs w:val="24"/>
          <w:lang w:val="en-US"/>
        </w:rPr>
        <w:t>s</w:t>
      </w:r>
      <w:r w:rsidRPr="00160333">
        <w:rPr>
          <w:rFonts w:ascii="Arial" w:hAnsi="Arial" w:cs="Arial"/>
          <w:sz w:val="24"/>
          <w:szCs w:val="24"/>
          <w:lang w:val="en-US"/>
        </w:rPr>
        <w:t xml:space="preserve"> to be inconsistent outcomes on </w:t>
      </w:r>
      <w:r w:rsidR="003F02D6">
        <w:rPr>
          <w:rFonts w:ascii="Arial" w:hAnsi="Arial" w:cs="Arial"/>
          <w:sz w:val="24"/>
          <w:szCs w:val="24"/>
          <w:lang w:val="en-US"/>
        </w:rPr>
        <w:t xml:space="preserve">broadly </w:t>
      </w:r>
      <w:r w:rsidRPr="00160333">
        <w:rPr>
          <w:rFonts w:ascii="Arial" w:hAnsi="Arial" w:cs="Arial"/>
          <w:sz w:val="24"/>
          <w:szCs w:val="24"/>
          <w:lang w:val="en-US"/>
        </w:rPr>
        <w:t>comparable facts</w:t>
      </w:r>
      <w:r w:rsidR="00B2319B">
        <w:rPr>
          <w:rFonts w:ascii="Arial" w:hAnsi="Arial" w:cs="Arial"/>
          <w:sz w:val="24"/>
          <w:szCs w:val="24"/>
          <w:lang w:val="en-US"/>
        </w:rPr>
        <w:t>.</w:t>
      </w:r>
      <w:r w:rsidRPr="00160333">
        <w:rPr>
          <w:rStyle w:val="FootnoteReference"/>
          <w:rFonts w:ascii="Arial" w:hAnsi="Arial" w:cs="Arial"/>
          <w:sz w:val="24"/>
          <w:szCs w:val="24"/>
          <w:lang w:val="en-US"/>
        </w:rPr>
        <w:footnoteReference w:id="15"/>
      </w:r>
      <w:r w:rsidR="00B2319B">
        <w:rPr>
          <w:rFonts w:ascii="Arial" w:hAnsi="Arial" w:cs="Arial"/>
          <w:sz w:val="24"/>
          <w:szCs w:val="24"/>
          <w:lang w:val="en-US"/>
        </w:rPr>
        <w:t xml:space="preserve"> </w:t>
      </w:r>
      <w:r w:rsidRPr="00160333">
        <w:rPr>
          <w:rFonts w:ascii="Arial" w:hAnsi="Arial" w:cs="Arial"/>
          <w:sz w:val="24"/>
          <w:szCs w:val="24"/>
          <w:lang w:val="en-US"/>
        </w:rPr>
        <w:t xml:space="preserve">It is important therefore that decided cases be seen only as </w:t>
      </w:r>
      <w:r w:rsidR="00E77EA3">
        <w:rPr>
          <w:rFonts w:ascii="Arial" w:hAnsi="Arial" w:cs="Arial"/>
          <w:sz w:val="24"/>
          <w:szCs w:val="24"/>
          <w:lang w:val="en-US"/>
        </w:rPr>
        <w:t>being illustrative</w:t>
      </w:r>
      <w:r w:rsidRPr="00160333">
        <w:rPr>
          <w:rFonts w:ascii="Arial" w:hAnsi="Arial" w:cs="Arial"/>
          <w:sz w:val="24"/>
          <w:szCs w:val="24"/>
          <w:lang w:val="en-US"/>
        </w:rPr>
        <w:t xml:space="preserve">. What is clear though from the main decisions that I have considered from </w:t>
      </w:r>
      <w:r w:rsidRPr="00160333">
        <w:rPr>
          <w:rFonts w:ascii="Arial" w:hAnsi="Arial" w:cs="Arial"/>
          <w:sz w:val="24"/>
          <w:szCs w:val="24"/>
          <w:lang w:val="en-US"/>
        </w:rPr>
        <w:lastRenderedPageBreak/>
        <w:t xml:space="preserve">South Africa </w:t>
      </w:r>
      <w:r w:rsidR="008B73FA">
        <w:rPr>
          <w:rFonts w:ascii="Arial" w:hAnsi="Arial" w:cs="Arial"/>
          <w:sz w:val="24"/>
          <w:szCs w:val="24"/>
          <w:lang w:val="en-US"/>
        </w:rPr>
        <w:t>and the United Kingdom</w:t>
      </w:r>
      <w:r w:rsidR="00E77EA3">
        <w:rPr>
          <w:rFonts w:ascii="Arial" w:hAnsi="Arial" w:cs="Arial"/>
          <w:sz w:val="24"/>
          <w:szCs w:val="24"/>
          <w:lang w:val="en-US"/>
        </w:rPr>
        <w:t xml:space="preserve"> (UK)</w:t>
      </w:r>
      <w:r w:rsidR="008B73FA">
        <w:rPr>
          <w:rFonts w:ascii="Arial" w:hAnsi="Arial" w:cs="Arial"/>
          <w:sz w:val="24"/>
          <w:szCs w:val="24"/>
          <w:lang w:val="en-US"/>
        </w:rPr>
        <w:t xml:space="preserve"> </w:t>
      </w:r>
      <w:r w:rsidRPr="00160333">
        <w:rPr>
          <w:rFonts w:ascii="Arial" w:hAnsi="Arial" w:cs="Arial"/>
          <w:sz w:val="24"/>
          <w:szCs w:val="24"/>
          <w:lang w:val="en-US"/>
        </w:rPr>
        <w:t>is that where the rule was invoked against the principal, it was in circumstances where there was going for the party seeking to enforce the contract more than the mere representation of the purported agent as demonstrated in the cases cited in the footnotes</w:t>
      </w:r>
      <w:r w:rsidR="00E77EA3">
        <w:rPr>
          <w:rFonts w:ascii="Arial" w:hAnsi="Arial" w:cs="Arial"/>
          <w:sz w:val="24"/>
          <w:szCs w:val="24"/>
          <w:lang w:val="en-US"/>
        </w:rPr>
        <w:t xml:space="preserve"> in 16 to 18</w:t>
      </w:r>
      <w:r w:rsidR="008B73FA">
        <w:rPr>
          <w:rFonts w:ascii="Arial" w:hAnsi="Arial" w:cs="Arial"/>
          <w:sz w:val="24"/>
          <w:szCs w:val="24"/>
          <w:lang w:val="en-US"/>
        </w:rPr>
        <w:t xml:space="preserve"> below</w:t>
      </w:r>
      <w:r w:rsidRPr="00160333">
        <w:rPr>
          <w:rFonts w:ascii="Arial" w:hAnsi="Arial" w:cs="Arial"/>
          <w:sz w:val="24"/>
          <w:szCs w:val="24"/>
          <w:lang w:val="en-US"/>
        </w:rPr>
        <w:t xml:space="preserve">. </w:t>
      </w:r>
      <w:r w:rsidRPr="00BE62FA">
        <w:rPr>
          <w:rFonts w:ascii="Arial" w:hAnsi="Arial" w:cs="Arial"/>
          <w:sz w:val="24"/>
          <w:szCs w:val="24"/>
          <w:lang w:val="en-US"/>
        </w:rPr>
        <w:t>For example, a non-compliant resolution of a competent body or fewer than the required number of authorised</w:t>
      </w:r>
      <w:r w:rsidR="003F02D6" w:rsidRPr="00BE62FA">
        <w:rPr>
          <w:rFonts w:ascii="Arial" w:hAnsi="Arial" w:cs="Arial"/>
          <w:sz w:val="24"/>
          <w:szCs w:val="24"/>
          <w:lang w:val="en-US"/>
        </w:rPr>
        <w:t xml:space="preserve"> functionaries</w:t>
      </w:r>
      <w:r w:rsidRPr="00BE62FA">
        <w:rPr>
          <w:rStyle w:val="FootnoteReference"/>
          <w:rFonts w:ascii="Arial" w:hAnsi="Arial" w:cs="Arial"/>
          <w:sz w:val="24"/>
          <w:szCs w:val="24"/>
          <w:lang w:val="en-US"/>
        </w:rPr>
        <w:footnoteReference w:id="16"/>
      </w:r>
      <w:r w:rsidRPr="00BE62FA">
        <w:rPr>
          <w:rFonts w:ascii="Arial" w:hAnsi="Arial" w:cs="Arial"/>
          <w:sz w:val="24"/>
          <w:szCs w:val="24"/>
          <w:lang w:val="en-US"/>
        </w:rPr>
        <w:t>; existence of a power to delegate any person in the organisation and not just, say, the directors o</w:t>
      </w:r>
      <w:r w:rsidR="003F02D6" w:rsidRPr="00BE62FA">
        <w:rPr>
          <w:rFonts w:ascii="Arial" w:hAnsi="Arial" w:cs="Arial"/>
          <w:sz w:val="24"/>
          <w:szCs w:val="24"/>
          <w:lang w:val="en-US"/>
        </w:rPr>
        <w:t>f the company.</w:t>
      </w:r>
    </w:p>
    <w:p w14:paraId="70B3CF05" w14:textId="77777777" w:rsidR="007B2FDB" w:rsidRPr="00793DA3" w:rsidRDefault="007B2FDB" w:rsidP="00F355DB">
      <w:pPr>
        <w:spacing w:line="480" w:lineRule="auto"/>
        <w:jc w:val="both"/>
        <w:rPr>
          <w:rFonts w:ascii="Arial" w:hAnsi="Arial" w:cs="Arial"/>
          <w:sz w:val="22"/>
          <w:szCs w:val="22"/>
          <w:lang w:val="en-US"/>
        </w:rPr>
      </w:pPr>
    </w:p>
    <w:p w14:paraId="45A098CB" w14:textId="5063E7F0" w:rsidR="009577A6" w:rsidRPr="00893007" w:rsidRDefault="00B26530" w:rsidP="00160333">
      <w:pPr>
        <w:pStyle w:val="NoSpacing"/>
        <w:numPr>
          <w:ilvl w:val="0"/>
          <w:numId w:val="7"/>
        </w:numPr>
        <w:spacing w:line="480" w:lineRule="auto"/>
        <w:ind w:left="0" w:firstLine="0"/>
        <w:jc w:val="both"/>
        <w:rPr>
          <w:rFonts w:ascii="Arial" w:hAnsi="Arial" w:cs="Arial"/>
          <w:sz w:val="24"/>
          <w:szCs w:val="24"/>
          <w:lang w:val="en-US"/>
        </w:rPr>
      </w:pPr>
      <w:r w:rsidRPr="00793DA3">
        <w:rPr>
          <w:rFonts w:ascii="Arial" w:hAnsi="Arial" w:cs="Arial"/>
          <w:sz w:val="24"/>
          <w:szCs w:val="24"/>
          <w:lang w:val="en-US"/>
        </w:rPr>
        <w:t>What distinguishes the present</w:t>
      </w:r>
      <w:r w:rsidR="007B2FDB" w:rsidRPr="00793DA3">
        <w:rPr>
          <w:rFonts w:ascii="Arial" w:hAnsi="Arial" w:cs="Arial"/>
          <w:sz w:val="24"/>
          <w:szCs w:val="24"/>
          <w:lang w:val="en-US"/>
        </w:rPr>
        <w:t xml:space="preserve"> case from the reported cases</w:t>
      </w:r>
      <w:r w:rsidR="007B2FDB" w:rsidRPr="00793DA3">
        <w:rPr>
          <w:rStyle w:val="FootnoteReference"/>
          <w:rFonts w:ascii="Arial" w:hAnsi="Arial" w:cs="Arial"/>
          <w:sz w:val="24"/>
          <w:szCs w:val="24"/>
          <w:lang w:val="en-US"/>
        </w:rPr>
        <w:footnoteReference w:id="17"/>
      </w:r>
      <w:r w:rsidR="007B2FDB" w:rsidRPr="00793DA3">
        <w:rPr>
          <w:rFonts w:ascii="Arial" w:hAnsi="Arial" w:cs="Arial"/>
          <w:sz w:val="24"/>
          <w:szCs w:val="24"/>
          <w:lang w:val="en-US"/>
        </w:rPr>
        <w:t xml:space="preserve"> is the absence of evidence, apart from mere verbal communications of those purporting to act as agents, that those with the necessary decision-making powers within </w:t>
      </w:r>
      <w:r w:rsidR="00F72BA0" w:rsidRPr="00793DA3">
        <w:rPr>
          <w:rFonts w:ascii="Arial" w:hAnsi="Arial" w:cs="Arial"/>
          <w:sz w:val="24"/>
          <w:szCs w:val="24"/>
          <w:lang w:val="en-US"/>
        </w:rPr>
        <w:t xml:space="preserve">the DTA </w:t>
      </w:r>
      <w:r w:rsidR="007B2FDB" w:rsidRPr="00793DA3">
        <w:rPr>
          <w:rFonts w:ascii="Arial" w:hAnsi="Arial" w:cs="Arial"/>
          <w:sz w:val="24"/>
          <w:szCs w:val="24"/>
          <w:lang w:val="en-US"/>
        </w:rPr>
        <w:t xml:space="preserve">made any representation </w:t>
      </w:r>
      <w:r w:rsidR="00F72BA0" w:rsidRPr="00793DA3">
        <w:rPr>
          <w:rFonts w:ascii="Arial" w:hAnsi="Arial" w:cs="Arial"/>
          <w:sz w:val="24"/>
          <w:szCs w:val="24"/>
          <w:lang w:val="en-US"/>
        </w:rPr>
        <w:t>(</w:t>
      </w:r>
      <w:r w:rsidR="007B2FDB" w:rsidRPr="00793DA3">
        <w:rPr>
          <w:rFonts w:ascii="Arial" w:hAnsi="Arial" w:cs="Arial"/>
          <w:sz w:val="24"/>
          <w:szCs w:val="24"/>
          <w:lang w:val="en-US"/>
        </w:rPr>
        <w:t>even if inchoate</w:t>
      </w:r>
      <w:r w:rsidR="00F72BA0" w:rsidRPr="00793DA3">
        <w:rPr>
          <w:rFonts w:ascii="Arial" w:hAnsi="Arial" w:cs="Arial"/>
          <w:sz w:val="24"/>
          <w:szCs w:val="24"/>
          <w:lang w:val="en-US"/>
        </w:rPr>
        <w:t>, defective or incomplete)</w:t>
      </w:r>
      <w:r w:rsidR="007B2FDB" w:rsidRPr="00793DA3">
        <w:rPr>
          <w:rFonts w:ascii="Arial" w:hAnsi="Arial" w:cs="Arial"/>
          <w:sz w:val="24"/>
          <w:szCs w:val="24"/>
          <w:lang w:val="en-US"/>
        </w:rPr>
        <w:t xml:space="preserve"> that the transaction was authorised.</w:t>
      </w:r>
      <w:r w:rsidR="00BE62FA">
        <w:rPr>
          <w:rStyle w:val="FootnoteReference"/>
          <w:rFonts w:ascii="Arial" w:hAnsi="Arial" w:cs="Arial"/>
          <w:sz w:val="24"/>
          <w:szCs w:val="24"/>
          <w:lang w:val="en-US"/>
        </w:rPr>
        <w:footnoteReference w:id="18"/>
      </w:r>
      <w:r w:rsidR="007B2FDB" w:rsidRPr="00793DA3">
        <w:rPr>
          <w:rFonts w:ascii="Arial" w:hAnsi="Arial" w:cs="Arial"/>
          <w:sz w:val="24"/>
          <w:szCs w:val="24"/>
          <w:lang w:val="en-US"/>
        </w:rPr>
        <w:t xml:space="preserve"> There is no letter, no resolution or any other written communication from anyone, not even from the regional structure to which the representors belonged</w:t>
      </w:r>
      <w:r w:rsidR="00F72BA0" w:rsidRPr="00793DA3">
        <w:rPr>
          <w:rFonts w:ascii="Arial" w:hAnsi="Arial" w:cs="Arial"/>
          <w:sz w:val="24"/>
          <w:szCs w:val="24"/>
          <w:lang w:val="en-US"/>
        </w:rPr>
        <w:t>,</w:t>
      </w:r>
      <w:r w:rsidR="007B2FDB" w:rsidRPr="00793DA3">
        <w:rPr>
          <w:rFonts w:ascii="Arial" w:hAnsi="Arial" w:cs="Arial"/>
          <w:sz w:val="24"/>
          <w:szCs w:val="24"/>
          <w:lang w:val="en-US"/>
        </w:rPr>
        <w:t xml:space="preserve"> suggesting that the sale was authorised. The </w:t>
      </w:r>
      <w:r w:rsidR="00E13155" w:rsidRPr="00793DA3">
        <w:rPr>
          <w:rFonts w:ascii="Arial" w:hAnsi="Arial" w:cs="Arial"/>
          <w:sz w:val="24"/>
          <w:szCs w:val="24"/>
          <w:lang w:val="en-US"/>
        </w:rPr>
        <w:t>high watermark</w:t>
      </w:r>
      <w:r w:rsidR="007B2FDB" w:rsidRPr="00793DA3">
        <w:rPr>
          <w:rFonts w:ascii="Arial" w:hAnsi="Arial" w:cs="Arial"/>
          <w:sz w:val="24"/>
          <w:szCs w:val="24"/>
          <w:lang w:val="en-US"/>
        </w:rPr>
        <w:t xml:space="preserve"> of Mr Hausiku’s evidence is that</w:t>
      </w:r>
      <w:r w:rsidR="000F1F66" w:rsidRPr="00793DA3">
        <w:rPr>
          <w:rFonts w:ascii="Arial" w:hAnsi="Arial" w:cs="Arial"/>
          <w:sz w:val="24"/>
          <w:szCs w:val="24"/>
          <w:lang w:val="en-US"/>
        </w:rPr>
        <w:t xml:space="preserve"> Mr Kanyetu</w:t>
      </w:r>
      <w:r w:rsidR="007B2FDB" w:rsidRPr="00793DA3">
        <w:rPr>
          <w:rFonts w:ascii="Arial" w:hAnsi="Arial" w:cs="Arial"/>
          <w:sz w:val="24"/>
          <w:szCs w:val="24"/>
          <w:lang w:val="en-US"/>
        </w:rPr>
        <w:t xml:space="preserve"> told him that he would conduct internal discussions withi</w:t>
      </w:r>
      <w:r w:rsidR="00F72BA0" w:rsidRPr="00793DA3">
        <w:rPr>
          <w:rFonts w:ascii="Arial" w:hAnsi="Arial" w:cs="Arial"/>
          <w:sz w:val="24"/>
          <w:szCs w:val="24"/>
          <w:lang w:val="en-US"/>
        </w:rPr>
        <w:t>n</w:t>
      </w:r>
      <w:r w:rsidR="007B2FDB" w:rsidRPr="00793DA3">
        <w:rPr>
          <w:rFonts w:ascii="Arial" w:hAnsi="Arial" w:cs="Arial"/>
          <w:sz w:val="24"/>
          <w:szCs w:val="24"/>
          <w:lang w:val="en-US"/>
        </w:rPr>
        <w:t xml:space="preserve"> the DTA to deter</w:t>
      </w:r>
      <w:r w:rsidR="000F1F66" w:rsidRPr="00793DA3">
        <w:rPr>
          <w:rFonts w:ascii="Arial" w:hAnsi="Arial" w:cs="Arial"/>
          <w:sz w:val="24"/>
          <w:szCs w:val="24"/>
          <w:lang w:val="en-US"/>
        </w:rPr>
        <w:t xml:space="preserve">mine whether there was </w:t>
      </w:r>
      <w:r w:rsidR="0049058D" w:rsidRPr="00793DA3">
        <w:rPr>
          <w:rFonts w:ascii="Arial" w:hAnsi="Arial" w:cs="Arial"/>
          <w:sz w:val="24"/>
          <w:szCs w:val="24"/>
          <w:lang w:val="en-US"/>
        </w:rPr>
        <w:t xml:space="preserve">a </w:t>
      </w:r>
      <w:r w:rsidR="000F1F66" w:rsidRPr="00793DA3">
        <w:rPr>
          <w:rFonts w:ascii="Arial" w:hAnsi="Arial" w:cs="Arial"/>
          <w:sz w:val="24"/>
          <w:szCs w:val="24"/>
          <w:lang w:val="en-US"/>
        </w:rPr>
        <w:t>desire</w:t>
      </w:r>
      <w:r w:rsidR="007B2FDB" w:rsidRPr="00793DA3">
        <w:rPr>
          <w:rFonts w:ascii="Arial" w:hAnsi="Arial" w:cs="Arial"/>
          <w:sz w:val="24"/>
          <w:szCs w:val="24"/>
          <w:lang w:val="en-US"/>
        </w:rPr>
        <w:t xml:space="preserve"> to sell the </w:t>
      </w:r>
      <w:r w:rsidR="0049058D" w:rsidRPr="00793DA3">
        <w:rPr>
          <w:rFonts w:ascii="Arial" w:hAnsi="Arial" w:cs="Arial"/>
          <w:sz w:val="24"/>
          <w:szCs w:val="24"/>
          <w:lang w:val="en-US"/>
        </w:rPr>
        <w:t>disputed land</w:t>
      </w:r>
      <w:r w:rsidR="00192280">
        <w:rPr>
          <w:rFonts w:ascii="Arial" w:hAnsi="Arial" w:cs="Arial"/>
          <w:sz w:val="24"/>
          <w:szCs w:val="24"/>
          <w:lang w:val="en-US"/>
        </w:rPr>
        <w:t xml:space="preserve">. At the very least, </w:t>
      </w:r>
      <w:r w:rsidR="00192280">
        <w:rPr>
          <w:rFonts w:ascii="Arial" w:hAnsi="Arial" w:cs="Arial"/>
          <w:sz w:val="24"/>
          <w:szCs w:val="24"/>
          <w:lang w:val="en-US"/>
        </w:rPr>
        <w:lastRenderedPageBreak/>
        <w:t>that</w:t>
      </w:r>
      <w:r w:rsidR="007B2FDB" w:rsidRPr="00793DA3">
        <w:rPr>
          <w:rFonts w:ascii="Arial" w:hAnsi="Arial" w:cs="Arial"/>
          <w:sz w:val="24"/>
          <w:szCs w:val="24"/>
          <w:lang w:val="en-US"/>
        </w:rPr>
        <w:t xml:space="preserve"> should</w:t>
      </w:r>
      <w:r w:rsidR="00F72BA0" w:rsidRPr="00793DA3">
        <w:rPr>
          <w:rFonts w:ascii="Arial" w:hAnsi="Arial" w:cs="Arial"/>
          <w:sz w:val="24"/>
          <w:szCs w:val="24"/>
          <w:lang w:val="en-US"/>
        </w:rPr>
        <w:t xml:space="preserve"> </w:t>
      </w:r>
      <w:r w:rsidR="007B2FDB" w:rsidRPr="00793DA3">
        <w:rPr>
          <w:rFonts w:ascii="Arial" w:hAnsi="Arial" w:cs="Arial"/>
          <w:sz w:val="24"/>
          <w:szCs w:val="24"/>
          <w:lang w:val="en-US"/>
        </w:rPr>
        <w:t xml:space="preserve">have put him on notice that persons other than Mr </w:t>
      </w:r>
      <w:r w:rsidR="00192280">
        <w:rPr>
          <w:rFonts w:ascii="Arial" w:hAnsi="Arial" w:cs="Arial"/>
          <w:sz w:val="24"/>
          <w:szCs w:val="24"/>
          <w:lang w:val="en-US"/>
        </w:rPr>
        <w:t>Kashera</w:t>
      </w:r>
      <w:r w:rsidR="007B2FDB" w:rsidRPr="00793DA3">
        <w:rPr>
          <w:rFonts w:ascii="Arial" w:hAnsi="Arial" w:cs="Arial"/>
          <w:sz w:val="24"/>
          <w:szCs w:val="24"/>
          <w:lang w:val="en-US"/>
        </w:rPr>
        <w:t xml:space="preserve"> would be involved in sanctioning a valid sale. The next thing that happened is that he received another verbal communication </w:t>
      </w:r>
      <w:r w:rsidR="007B2FDB" w:rsidRPr="00893007">
        <w:rPr>
          <w:rFonts w:ascii="Arial" w:hAnsi="Arial" w:cs="Arial"/>
          <w:sz w:val="24"/>
          <w:szCs w:val="24"/>
          <w:lang w:val="en-US"/>
        </w:rPr>
        <w:t xml:space="preserve">from Mr </w:t>
      </w:r>
      <w:r w:rsidR="00893007" w:rsidRPr="00893007">
        <w:rPr>
          <w:rFonts w:ascii="Arial" w:hAnsi="Arial" w:cs="Arial"/>
          <w:sz w:val="24"/>
          <w:szCs w:val="24"/>
          <w:lang w:val="en-US"/>
        </w:rPr>
        <w:t>Kanyetu</w:t>
      </w:r>
      <w:r w:rsidR="007535FC" w:rsidRPr="00893007">
        <w:rPr>
          <w:rFonts w:ascii="Arial" w:hAnsi="Arial" w:cs="Arial"/>
          <w:sz w:val="24"/>
          <w:szCs w:val="24"/>
          <w:lang w:val="en-US"/>
        </w:rPr>
        <w:t xml:space="preserve"> </w:t>
      </w:r>
      <w:r w:rsidR="007B2FDB" w:rsidRPr="00893007">
        <w:rPr>
          <w:rFonts w:ascii="Arial" w:hAnsi="Arial" w:cs="Arial"/>
          <w:sz w:val="24"/>
          <w:szCs w:val="24"/>
          <w:lang w:val="en-US"/>
        </w:rPr>
        <w:t xml:space="preserve">that </w:t>
      </w:r>
      <w:r w:rsidR="007B2FDB" w:rsidRPr="00793DA3">
        <w:rPr>
          <w:rFonts w:ascii="Arial" w:hAnsi="Arial" w:cs="Arial"/>
          <w:sz w:val="24"/>
          <w:szCs w:val="24"/>
          <w:lang w:val="en-US"/>
        </w:rPr>
        <w:t xml:space="preserve">the sale was </w:t>
      </w:r>
      <w:r w:rsidR="007B2FDB" w:rsidRPr="00893007">
        <w:rPr>
          <w:rFonts w:ascii="Arial" w:hAnsi="Arial" w:cs="Arial"/>
          <w:sz w:val="24"/>
          <w:szCs w:val="24"/>
          <w:lang w:val="en-US"/>
        </w:rPr>
        <w:t xml:space="preserve">authorised. </w:t>
      </w:r>
      <w:r w:rsidR="009577A6" w:rsidRPr="00893007">
        <w:rPr>
          <w:rFonts w:ascii="Arial" w:hAnsi="Arial" w:cs="Arial"/>
          <w:sz w:val="24"/>
          <w:szCs w:val="24"/>
          <w:lang w:val="en-US"/>
        </w:rPr>
        <w:t xml:space="preserve">It was this verbal communication that triggered the conclusion of the two-way </w:t>
      </w:r>
      <w:r w:rsidR="00FF3C93">
        <w:rPr>
          <w:rFonts w:ascii="Arial" w:hAnsi="Arial" w:cs="Arial"/>
          <w:sz w:val="24"/>
          <w:szCs w:val="24"/>
          <w:lang w:val="en-US"/>
        </w:rPr>
        <w:t>transaction.</w:t>
      </w:r>
    </w:p>
    <w:p w14:paraId="12C4C782" w14:textId="77777777" w:rsidR="00B26530" w:rsidRPr="00B26530" w:rsidRDefault="00B26530" w:rsidP="00F355DB">
      <w:pPr>
        <w:spacing w:line="480" w:lineRule="auto"/>
        <w:jc w:val="both"/>
        <w:rPr>
          <w:rFonts w:ascii="Arial" w:hAnsi="Arial" w:cs="Arial"/>
          <w:lang w:val="en-US"/>
        </w:rPr>
      </w:pPr>
    </w:p>
    <w:p w14:paraId="3D19E23C" w14:textId="7969D5A2" w:rsidR="007B2FDB" w:rsidRPr="00B97A93" w:rsidRDefault="007B2FDB" w:rsidP="00793DA3">
      <w:pPr>
        <w:pStyle w:val="NoSpacing"/>
        <w:numPr>
          <w:ilvl w:val="0"/>
          <w:numId w:val="7"/>
        </w:numPr>
        <w:spacing w:line="480" w:lineRule="auto"/>
        <w:ind w:left="0" w:firstLine="0"/>
        <w:jc w:val="both"/>
        <w:rPr>
          <w:rFonts w:ascii="Arial" w:hAnsi="Arial" w:cs="Arial"/>
          <w:sz w:val="24"/>
          <w:szCs w:val="24"/>
          <w:lang w:val="en-US"/>
        </w:rPr>
      </w:pPr>
      <w:r w:rsidRPr="00B97A93">
        <w:rPr>
          <w:rFonts w:ascii="Arial" w:hAnsi="Arial" w:cs="Arial"/>
          <w:sz w:val="24"/>
          <w:szCs w:val="24"/>
          <w:lang w:val="en-US"/>
        </w:rPr>
        <w:t xml:space="preserve">In those circumstances, the fact that Mr </w:t>
      </w:r>
      <w:r w:rsidR="00192280" w:rsidRPr="00B97A93">
        <w:rPr>
          <w:rFonts w:ascii="Arial" w:hAnsi="Arial" w:cs="Arial"/>
          <w:sz w:val="24"/>
          <w:szCs w:val="24"/>
          <w:lang w:val="en-US"/>
        </w:rPr>
        <w:t>Kashera</w:t>
      </w:r>
      <w:r w:rsidRPr="00B97A93">
        <w:rPr>
          <w:rFonts w:ascii="Arial" w:hAnsi="Arial" w:cs="Arial"/>
          <w:sz w:val="24"/>
          <w:szCs w:val="24"/>
          <w:lang w:val="en-US"/>
        </w:rPr>
        <w:t xml:space="preserve"> made self-serving representation</w:t>
      </w:r>
      <w:r w:rsidR="00192280" w:rsidRPr="00B97A93">
        <w:rPr>
          <w:rFonts w:ascii="Arial" w:hAnsi="Arial" w:cs="Arial"/>
          <w:sz w:val="24"/>
          <w:szCs w:val="24"/>
          <w:lang w:val="en-US"/>
        </w:rPr>
        <w:t>s</w:t>
      </w:r>
      <w:r w:rsidRPr="00B97A93">
        <w:rPr>
          <w:rFonts w:ascii="Arial" w:hAnsi="Arial" w:cs="Arial"/>
          <w:sz w:val="24"/>
          <w:szCs w:val="24"/>
          <w:lang w:val="en-US"/>
        </w:rPr>
        <w:t xml:space="preserve"> before a conveyancer that he was authorised is neither here nor there. One would </w:t>
      </w:r>
      <w:r w:rsidR="00F72BA0" w:rsidRPr="00B97A93">
        <w:rPr>
          <w:rFonts w:ascii="Arial" w:hAnsi="Arial" w:cs="Arial"/>
          <w:sz w:val="24"/>
          <w:szCs w:val="24"/>
          <w:lang w:val="en-US"/>
        </w:rPr>
        <w:t xml:space="preserve">in any event </w:t>
      </w:r>
      <w:r w:rsidRPr="00B97A93">
        <w:rPr>
          <w:rFonts w:ascii="Arial" w:hAnsi="Arial" w:cs="Arial"/>
          <w:sz w:val="24"/>
          <w:szCs w:val="24"/>
          <w:lang w:val="en-US"/>
        </w:rPr>
        <w:t xml:space="preserve">have expected the conveyancer </w:t>
      </w:r>
      <w:r w:rsidR="00F72BA0" w:rsidRPr="00B97A93">
        <w:rPr>
          <w:rFonts w:ascii="Arial" w:hAnsi="Arial" w:cs="Arial"/>
          <w:sz w:val="24"/>
          <w:szCs w:val="24"/>
          <w:lang w:val="en-US"/>
        </w:rPr>
        <w:t xml:space="preserve">to ask for </w:t>
      </w:r>
      <w:r w:rsidRPr="00B97A93">
        <w:rPr>
          <w:rFonts w:ascii="Arial" w:hAnsi="Arial" w:cs="Arial"/>
          <w:sz w:val="24"/>
          <w:szCs w:val="24"/>
          <w:lang w:val="en-US"/>
        </w:rPr>
        <w:t xml:space="preserve">some form of written authorisation to Mr </w:t>
      </w:r>
      <w:r w:rsidR="000F1F66" w:rsidRPr="00B97A93">
        <w:rPr>
          <w:rFonts w:ascii="Arial" w:hAnsi="Arial" w:cs="Arial"/>
          <w:sz w:val="24"/>
          <w:szCs w:val="24"/>
          <w:lang w:val="en-US"/>
        </w:rPr>
        <w:t>Ka</w:t>
      </w:r>
      <w:r w:rsidR="004136A6" w:rsidRPr="00B97A93">
        <w:rPr>
          <w:rFonts w:ascii="Arial" w:hAnsi="Arial" w:cs="Arial"/>
          <w:sz w:val="24"/>
          <w:szCs w:val="24"/>
          <w:lang w:val="en-US"/>
        </w:rPr>
        <w:t>shera</w:t>
      </w:r>
      <w:r w:rsidRPr="00B97A93">
        <w:rPr>
          <w:rFonts w:ascii="Arial" w:hAnsi="Arial" w:cs="Arial"/>
          <w:sz w:val="24"/>
          <w:szCs w:val="24"/>
          <w:lang w:val="en-US"/>
        </w:rPr>
        <w:t xml:space="preserve"> to consummate the transaction considering that it was obvious to everyone involved that the property sought to be sold belonged to a </w:t>
      </w:r>
      <w:r w:rsidRPr="00B97A93">
        <w:rPr>
          <w:rFonts w:ascii="Arial" w:hAnsi="Arial" w:cs="Arial"/>
          <w:i/>
          <w:sz w:val="24"/>
          <w:szCs w:val="24"/>
          <w:lang w:val="en-US"/>
        </w:rPr>
        <w:t>universitas</w:t>
      </w:r>
      <w:r w:rsidRPr="00B97A93">
        <w:rPr>
          <w:rFonts w:ascii="Arial" w:hAnsi="Arial" w:cs="Arial"/>
          <w:sz w:val="24"/>
          <w:szCs w:val="24"/>
          <w:lang w:val="en-US"/>
        </w:rPr>
        <w:t>.</w:t>
      </w:r>
    </w:p>
    <w:p w14:paraId="0ECB8CFD" w14:textId="77777777" w:rsidR="007B2FDB" w:rsidRPr="007E16E4" w:rsidRDefault="007B2FDB" w:rsidP="00F355DB">
      <w:pPr>
        <w:pStyle w:val="ListParagraph"/>
        <w:spacing w:line="480" w:lineRule="auto"/>
        <w:ind w:left="0"/>
        <w:jc w:val="both"/>
        <w:rPr>
          <w:rFonts w:ascii="Arial" w:hAnsi="Arial" w:cs="Arial"/>
          <w:u w:val="single"/>
          <w:lang w:val="en-US"/>
        </w:rPr>
      </w:pPr>
    </w:p>
    <w:p w14:paraId="56D2E669" w14:textId="5BC2D598" w:rsidR="00FA5AE8" w:rsidRPr="00793DA3" w:rsidRDefault="00C04811" w:rsidP="00F355DB">
      <w:pPr>
        <w:pStyle w:val="ListParagraph"/>
        <w:spacing w:line="480" w:lineRule="auto"/>
        <w:ind w:left="0"/>
        <w:jc w:val="both"/>
        <w:rPr>
          <w:rFonts w:ascii="Arial" w:hAnsi="Arial" w:cs="Arial"/>
          <w:i/>
          <w:iCs/>
          <w:lang w:val="en-US"/>
        </w:rPr>
      </w:pPr>
      <w:r>
        <w:rPr>
          <w:rFonts w:ascii="Arial" w:hAnsi="Arial" w:cs="Arial"/>
          <w:i/>
          <w:iCs/>
          <w:lang w:val="en-US"/>
        </w:rPr>
        <w:t>Ostensible a</w:t>
      </w:r>
      <w:r w:rsidR="00FA5AE8" w:rsidRPr="00793DA3">
        <w:rPr>
          <w:rFonts w:ascii="Arial" w:hAnsi="Arial" w:cs="Arial"/>
          <w:i/>
          <w:iCs/>
          <w:lang w:val="en-US"/>
        </w:rPr>
        <w:t>uthority</w:t>
      </w:r>
    </w:p>
    <w:p w14:paraId="2F2AE8C9" w14:textId="6933A974" w:rsidR="00FA5AE8" w:rsidRPr="00793DA3" w:rsidRDefault="00FA5AE8" w:rsidP="00793DA3">
      <w:pPr>
        <w:pStyle w:val="NoSpacing"/>
        <w:numPr>
          <w:ilvl w:val="0"/>
          <w:numId w:val="7"/>
        </w:numPr>
        <w:spacing w:line="480" w:lineRule="auto"/>
        <w:ind w:left="0" w:firstLine="0"/>
        <w:jc w:val="both"/>
        <w:rPr>
          <w:rFonts w:ascii="Arial" w:hAnsi="Arial" w:cs="Arial"/>
          <w:sz w:val="24"/>
          <w:szCs w:val="24"/>
          <w:lang w:val="en-US"/>
        </w:rPr>
      </w:pPr>
      <w:r w:rsidRPr="00793DA3">
        <w:rPr>
          <w:rFonts w:ascii="Arial" w:hAnsi="Arial" w:cs="Arial"/>
          <w:sz w:val="24"/>
          <w:szCs w:val="24"/>
        </w:rPr>
        <w:t>‘If reliance is placed on an ostensible authority, the elements of estoppel must be alleged, including a representation by the alleged princi</w:t>
      </w:r>
      <w:r w:rsidR="00C04811">
        <w:rPr>
          <w:rFonts w:ascii="Arial" w:hAnsi="Arial" w:cs="Arial"/>
          <w:sz w:val="24"/>
          <w:szCs w:val="24"/>
        </w:rPr>
        <w:t>pal and the necessary causation</w:t>
      </w:r>
      <w:r w:rsidRPr="00793DA3">
        <w:rPr>
          <w:rFonts w:ascii="Arial" w:hAnsi="Arial" w:cs="Arial"/>
          <w:sz w:val="24"/>
          <w:szCs w:val="24"/>
        </w:rPr>
        <w:t>.</w:t>
      </w:r>
      <w:r w:rsidR="00C04811">
        <w:rPr>
          <w:rFonts w:ascii="Arial" w:hAnsi="Arial" w:cs="Arial"/>
          <w:sz w:val="24"/>
          <w:szCs w:val="24"/>
        </w:rPr>
        <w:t>’</w:t>
      </w:r>
      <w:r w:rsidRPr="00793DA3">
        <w:rPr>
          <w:rStyle w:val="FootnoteReference"/>
          <w:rFonts w:ascii="Arial" w:hAnsi="Arial" w:cs="Arial"/>
          <w:sz w:val="24"/>
          <w:szCs w:val="24"/>
        </w:rPr>
        <w:footnoteReference w:id="19"/>
      </w:r>
    </w:p>
    <w:p w14:paraId="2033CD98" w14:textId="77777777" w:rsidR="00AB619A" w:rsidRPr="00793DA3" w:rsidRDefault="00AB619A" w:rsidP="00F355DB">
      <w:pPr>
        <w:pStyle w:val="ListParagraph"/>
        <w:spacing w:line="480" w:lineRule="auto"/>
        <w:ind w:left="0"/>
        <w:contextualSpacing w:val="0"/>
        <w:jc w:val="both"/>
        <w:rPr>
          <w:rFonts w:ascii="Arial" w:hAnsi="Arial" w:cs="Arial"/>
          <w:lang w:val="en-US"/>
        </w:rPr>
      </w:pPr>
    </w:p>
    <w:p w14:paraId="1C312FC7" w14:textId="5E7F7EA4" w:rsidR="00FA5AE8" w:rsidRDefault="002B3917" w:rsidP="00C04811">
      <w:pPr>
        <w:pStyle w:val="NoSpacing"/>
        <w:numPr>
          <w:ilvl w:val="0"/>
          <w:numId w:val="7"/>
        </w:numPr>
        <w:spacing w:line="480" w:lineRule="auto"/>
        <w:ind w:left="0" w:firstLine="0"/>
        <w:jc w:val="both"/>
        <w:rPr>
          <w:rFonts w:ascii="Arial" w:hAnsi="Arial" w:cs="Arial"/>
          <w:sz w:val="24"/>
          <w:szCs w:val="24"/>
          <w:lang w:val="en-US"/>
        </w:rPr>
      </w:pPr>
      <w:r w:rsidRPr="00793DA3">
        <w:rPr>
          <w:rFonts w:ascii="Arial" w:hAnsi="Arial" w:cs="Arial"/>
          <w:sz w:val="24"/>
          <w:szCs w:val="24"/>
          <w:lang w:val="en-US"/>
        </w:rPr>
        <w:t xml:space="preserve">A </w:t>
      </w:r>
      <w:r w:rsidR="00AB619A" w:rsidRPr="00793DA3">
        <w:rPr>
          <w:rFonts w:ascii="Arial" w:hAnsi="Arial" w:cs="Arial"/>
          <w:sz w:val="24"/>
          <w:szCs w:val="24"/>
          <w:lang w:val="en-US"/>
        </w:rPr>
        <w:t xml:space="preserve">succinct statement of the law on ostensible authority is to be found in a judgment of the UK Supreme Court in </w:t>
      </w:r>
      <w:r w:rsidR="00AB619A" w:rsidRPr="00793DA3">
        <w:rPr>
          <w:rFonts w:ascii="Arial" w:hAnsi="Arial" w:cs="Arial"/>
          <w:i/>
          <w:iCs/>
          <w:sz w:val="24"/>
          <w:szCs w:val="24"/>
          <w:lang w:val="en-US"/>
        </w:rPr>
        <w:t>East Asia Company Ltd v PT Satria Tirtatama Enegindo (Bermuda)</w:t>
      </w:r>
      <w:r w:rsidR="00AB619A" w:rsidRPr="00793DA3">
        <w:rPr>
          <w:rStyle w:val="FootnoteReference"/>
          <w:rFonts w:ascii="Arial" w:hAnsi="Arial" w:cs="Arial"/>
          <w:i/>
          <w:iCs/>
          <w:sz w:val="24"/>
          <w:szCs w:val="24"/>
          <w:lang w:val="en-US"/>
        </w:rPr>
        <w:footnoteReference w:id="20"/>
      </w:r>
      <w:r w:rsidR="00AB619A" w:rsidRPr="00793DA3">
        <w:rPr>
          <w:rFonts w:ascii="Arial" w:hAnsi="Arial" w:cs="Arial"/>
          <w:i/>
          <w:iCs/>
          <w:sz w:val="24"/>
          <w:szCs w:val="24"/>
          <w:lang w:val="en-US"/>
        </w:rPr>
        <w:t xml:space="preserve"> </w:t>
      </w:r>
      <w:r w:rsidR="00AB619A" w:rsidRPr="00793DA3">
        <w:rPr>
          <w:rFonts w:ascii="Arial" w:hAnsi="Arial" w:cs="Arial"/>
          <w:sz w:val="24"/>
          <w:szCs w:val="24"/>
          <w:lang w:val="en-US"/>
        </w:rPr>
        <w:t xml:space="preserve">where </w:t>
      </w:r>
      <w:r w:rsidR="00FA5AE8" w:rsidRPr="00793DA3">
        <w:rPr>
          <w:rFonts w:ascii="Arial" w:hAnsi="Arial" w:cs="Arial"/>
          <w:sz w:val="24"/>
          <w:szCs w:val="24"/>
          <w:lang w:val="en-US"/>
        </w:rPr>
        <w:t xml:space="preserve">Lord Kitchin </w:t>
      </w:r>
      <w:r w:rsidR="00AB619A" w:rsidRPr="00793DA3">
        <w:rPr>
          <w:rFonts w:ascii="Arial" w:hAnsi="Arial" w:cs="Arial"/>
          <w:sz w:val="24"/>
          <w:szCs w:val="24"/>
          <w:lang w:val="en-US"/>
        </w:rPr>
        <w:t>put it as follows</w:t>
      </w:r>
      <w:r w:rsidR="00FA5AE8" w:rsidRPr="00793DA3">
        <w:rPr>
          <w:rFonts w:ascii="Arial" w:hAnsi="Arial" w:cs="Arial"/>
          <w:iCs/>
          <w:sz w:val="24"/>
          <w:szCs w:val="24"/>
          <w:lang w:val="en-US"/>
        </w:rPr>
        <w:t>:</w:t>
      </w:r>
    </w:p>
    <w:p w14:paraId="5C2A3597" w14:textId="77777777" w:rsidR="00C04811" w:rsidRPr="00793DA3" w:rsidRDefault="00C04811" w:rsidP="00C04811">
      <w:pPr>
        <w:pStyle w:val="NoSpacing"/>
        <w:spacing w:line="480" w:lineRule="auto"/>
        <w:jc w:val="both"/>
        <w:rPr>
          <w:rFonts w:ascii="Arial" w:hAnsi="Arial" w:cs="Arial"/>
          <w:sz w:val="24"/>
          <w:szCs w:val="24"/>
          <w:lang w:val="en-US"/>
        </w:rPr>
      </w:pPr>
    </w:p>
    <w:p w14:paraId="2602A715" w14:textId="34A02107" w:rsidR="00FA5AE8" w:rsidRPr="00DA4A51" w:rsidRDefault="00E232B4" w:rsidP="00E232B4">
      <w:pPr>
        <w:pStyle w:val="ListParagraph"/>
        <w:spacing w:line="360" w:lineRule="auto"/>
        <w:jc w:val="both"/>
        <w:rPr>
          <w:rFonts w:ascii="Arial" w:hAnsi="Arial" w:cs="Arial"/>
          <w:sz w:val="22"/>
          <w:szCs w:val="22"/>
          <w:lang w:val="en-US"/>
        </w:rPr>
      </w:pPr>
      <w:r>
        <w:rPr>
          <w:rFonts w:ascii="Arial" w:hAnsi="Arial" w:cs="Arial"/>
          <w:sz w:val="22"/>
          <w:szCs w:val="22"/>
          <w:lang w:val="en-US"/>
        </w:rPr>
        <w:t xml:space="preserve">‘41. </w:t>
      </w:r>
      <w:r w:rsidR="00FA5AE8" w:rsidRPr="00DA4A51">
        <w:rPr>
          <w:rFonts w:ascii="Arial" w:hAnsi="Arial" w:cs="Arial"/>
          <w:sz w:val="22"/>
          <w:szCs w:val="22"/>
          <w:lang w:val="en-US"/>
        </w:rPr>
        <w:t xml:space="preserve">The general principles governing the existence of ostensible authority of an agent of a company are well established. It must be shown that a representation that the agent had authority to enter on behalf of the company into a contract of the kind sought </w:t>
      </w:r>
      <w:r w:rsidR="00FA5AE8" w:rsidRPr="00DA4A51">
        <w:rPr>
          <w:rFonts w:ascii="Arial" w:hAnsi="Arial" w:cs="Arial"/>
          <w:sz w:val="22"/>
          <w:szCs w:val="22"/>
          <w:lang w:val="en-US"/>
        </w:rPr>
        <w:lastRenderedPageBreak/>
        <w:t xml:space="preserve">to be enforced was made by a person or persons who had actual authority to manage the business of the company either generally or in respect of the particular matter to which the contract relates; that the contractor was induced by the representation to enter into the contract; and that under its memorandum </w:t>
      </w:r>
      <w:r w:rsidR="00141587">
        <w:rPr>
          <w:rFonts w:ascii="Arial" w:hAnsi="Arial" w:cs="Arial"/>
          <w:sz w:val="22"/>
          <w:szCs w:val="22"/>
          <w:lang w:val="en-US"/>
        </w:rPr>
        <w:t xml:space="preserve">or articles </w:t>
      </w:r>
      <w:r w:rsidR="00FA5AE8" w:rsidRPr="00DA4A51">
        <w:rPr>
          <w:rFonts w:ascii="Arial" w:hAnsi="Arial" w:cs="Arial"/>
          <w:sz w:val="22"/>
          <w:szCs w:val="22"/>
          <w:lang w:val="en-US"/>
        </w:rPr>
        <w:t>of association the company was not deprived of the capacity to enter into a contract of the kind sought to be enforced or to delegate authority to the agent t</w:t>
      </w:r>
      <w:r w:rsidR="00141587">
        <w:rPr>
          <w:rFonts w:ascii="Arial" w:hAnsi="Arial" w:cs="Arial"/>
          <w:sz w:val="22"/>
          <w:szCs w:val="22"/>
          <w:lang w:val="en-US"/>
        </w:rPr>
        <w:t>o enter into the contract of that</w:t>
      </w:r>
      <w:r w:rsidR="00FA5AE8" w:rsidRPr="00DA4A51">
        <w:rPr>
          <w:rFonts w:ascii="Arial" w:hAnsi="Arial" w:cs="Arial"/>
          <w:sz w:val="22"/>
          <w:szCs w:val="22"/>
          <w:lang w:val="en-US"/>
        </w:rPr>
        <w:t xml:space="preserve"> kind. </w:t>
      </w:r>
    </w:p>
    <w:p w14:paraId="4ED09689" w14:textId="77777777" w:rsidR="00FA5AE8" w:rsidRPr="00DA4A51" w:rsidRDefault="00FA5AE8" w:rsidP="00E232B4">
      <w:pPr>
        <w:pStyle w:val="ListParagraph"/>
        <w:spacing w:line="360" w:lineRule="auto"/>
        <w:jc w:val="both"/>
        <w:rPr>
          <w:rFonts w:ascii="Arial" w:hAnsi="Arial" w:cs="Arial"/>
          <w:sz w:val="22"/>
          <w:szCs w:val="22"/>
          <w:lang w:val="en-US"/>
        </w:rPr>
      </w:pPr>
    </w:p>
    <w:p w14:paraId="332BF1AB" w14:textId="290C90A5" w:rsidR="00FA5AE8" w:rsidRDefault="00E232B4" w:rsidP="00E232B4">
      <w:pPr>
        <w:pStyle w:val="ListParagraph"/>
        <w:spacing w:line="360" w:lineRule="auto"/>
        <w:jc w:val="both"/>
        <w:rPr>
          <w:rFonts w:ascii="Arial" w:hAnsi="Arial" w:cs="Arial"/>
          <w:sz w:val="22"/>
          <w:szCs w:val="22"/>
          <w:lang w:val="en-US"/>
        </w:rPr>
      </w:pPr>
      <w:r>
        <w:rPr>
          <w:rFonts w:ascii="Arial" w:hAnsi="Arial" w:cs="Arial"/>
          <w:sz w:val="22"/>
          <w:szCs w:val="22"/>
          <w:lang w:val="en-US"/>
        </w:rPr>
        <w:t xml:space="preserve">42. </w:t>
      </w:r>
      <w:r w:rsidR="00FA5AE8" w:rsidRPr="00DA4A51">
        <w:rPr>
          <w:rFonts w:ascii="Arial" w:hAnsi="Arial" w:cs="Arial"/>
          <w:sz w:val="22"/>
          <w:szCs w:val="22"/>
          <w:lang w:val="en-US"/>
        </w:rPr>
        <w:t>It is also important to have in mind that ostensible authority is a relationship between the principal and the contractor and it is one created by the representation of the principal that the agent has authority on behalf of the principal to enter into a contract of a particular kind. The representation, if acted upon by the contractor by entering into the contract operates as an estoppel which prevents the principal from contending that he is not bound by the contract</w:t>
      </w:r>
      <w:r w:rsidR="00141587">
        <w:rPr>
          <w:rFonts w:ascii="Arial" w:hAnsi="Arial" w:cs="Arial"/>
          <w:sz w:val="22"/>
          <w:szCs w:val="22"/>
          <w:lang w:val="en-US"/>
        </w:rPr>
        <w:t xml:space="preserve"> . . . .</w:t>
      </w:r>
      <w:r w:rsidR="00FA5AE8" w:rsidRPr="00DA4A51">
        <w:rPr>
          <w:rFonts w:ascii="Arial" w:hAnsi="Arial" w:cs="Arial"/>
          <w:sz w:val="22"/>
          <w:szCs w:val="22"/>
          <w:lang w:val="en-US"/>
        </w:rPr>
        <w:t>’</w:t>
      </w:r>
      <w:r w:rsidR="00FA5AE8" w:rsidRPr="00DA4A51">
        <w:rPr>
          <w:rStyle w:val="FootnoteReference"/>
          <w:rFonts w:ascii="Arial" w:hAnsi="Arial" w:cs="Arial"/>
          <w:sz w:val="22"/>
          <w:szCs w:val="22"/>
          <w:lang w:val="en-US"/>
        </w:rPr>
        <w:footnoteReference w:id="21"/>
      </w:r>
    </w:p>
    <w:p w14:paraId="37E2F62D" w14:textId="77777777" w:rsidR="00FA5AE8" w:rsidRPr="00B97A93" w:rsidRDefault="00FA5AE8" w:rsidP="00B97A93">
      <w:pPr>
        <w:spacing w:line="480" w:lineRule="auto"/>
        <w:jc w:val="both"/>
        <w:rPr>
          <w:rFonts w:ascii="Arial" w:hAnsi="Arial" w:cs="Arial"/>
          <w:sz w:val="22"/>
          <w:szCs w:val="22"/>
          <w:lang w:val="en-US"/>
        </w:rPr>
      </w:pPr>
    </w:p>
    <w:p w14:paraId="1405AA46" w14:textId="31678CC0" w:rsidR="00CE500D" w:rsidRDefault="00CE500D" w:rsidP="00793DA3">
      <w:pPr>
        <w:pStyle w:val="NoSpacing"/>
        <w:numPr>
          <w:ilvl w:val="0"/>
          <w:numId w:val="7"/>
        </w:numPr>
        <w:spacing w:line="480" w:lineRule="auto"/>
        <w:ind w:left="0" w:firstLine="0"/>
        <w:jc w:val="both"/>
        <w:rPr>
          <w:rFonts w:ascii="Arial" w:hAnsi="Arial" w:cs="Arial"/>
          <w:sz w:val="24"/>
          <w:szCs w:val="24"/>
          <w:lang w:val="en-US"/>
        </w:rPr>
      </w:pPr>
      <w:r>
        <w:rPr>
          <w:rFonts w:ascii="Arial" w:hAnsi="Arial" w:cs="Arial"/>
          <w:sz w:val="24"/>
          <w:szCs w:val="24"/>
          <w:lang w:val="en-US"/>
        </w:rPr>
        <w:t>Agency cannot be established from the declarations of the purported agent. It must derive from the actual conduct of the principal.</w:t>
      </w:r>
      <w:r>
        <w:rPr>
          <w:rStyle w:val="FootnoteReference"/>
          <w:rFonts w:ascii="Arial" w:hAnsi="Arial" w:cs="Arial"/>
          <w:sz w:val="24"/>
          <w:szCs w:val="24"/>
          <w:lang w:val="en-US"/>
        </w:rPr>
        <w:footnoteReference w:id="22"/>
      </w:r>
    </w:p>
    <w:p w14:paraId="189D464D" w14:textId="77777777" w:rsidR="00B97A93" w:rsidRPr="00CE500D" w:rsidRDefault="00B97A93" w:rsidP="00B97A93">
      <w:pPr>
        <w:pStyle w:val="NoSpacing"/>
        <w:spacing w:line="480" w:lineRule="auto"/>
        <w:jc w:val="both"/>
        <w:rPr>
          <w:rFonts w:ascii="Arial" w:hAnsi="Arial" w:cs="Arial"/>
          <w:sz w:val="24"/>
          <w:szCs w:val="24"/>
          <w:lang w:val="en-US"/>
        </w:rPr>
      </w:pPr>
    </w:p>
    <w:p w14:paraId="70A55F7E" w14:textId="28ACB65F" w:rsidR="00F72BA0" w:rsidRPr="00793DA3" w:rsidRDefault="005D750E" w:rsidP="00793DA3">
      <w:pPr>
        <w:pStyle w:val="NoSpacing"/>
        <w:numPr>
          <w:ilvl w:val="0"/>
          <w:numId w:val="7"/>
        </w:numPr>
        <w:spacing w:line="480" w:lineRule="auto"/>
        <w:ind w:left="0" w:firstLine="0"/>
        <w:jc w:val="both"/>
        <w:rPr>
          <w:rFonts w:ascii="Arial" w:hAnsi="Arial" w:cs="Arial"/>
          <w:sz w:val="24"/>
          <w:szCs w:val="24"/>
          <w:lang w:val="en-US"/>
        </w:rPr>
      </w:pPr>
      <w:r w:rsidRPr="00793DA3">
        <w:rPr>
          <w:rFonts w:ascii="Arial" w:hAnsi="Arial" w:cs="Arial"/>
          <w:iCs/>
          <w:sz w:val="24"/>
          <w:szCs w:val="24"/>
          <w:lang w:val="en-US"/>
        </w:rPr>
        <w:t>The act of alienating immov</w:t>
      </w:r>
      <w:r w:rsidR="00F75863" w:rsidRPr="00793DA3">
        <w:rPr>
          <w:rFonts w:ascii="Arial" w:hAnsi="Arial" w:cs="Arial"/>
          <w:iCs/>
          <w:sz w:val="24"/>
          <w:szCs w:val="24"/>
          <w:lang w:val="en-US"/>
        </w:rPr>
        <w:t xml:space="preserve">able property of the DTA falls within the party’s competence. That Mr Hausiku was induced by the conduct of Mr </w:t>
      </w:r>
      <w:r w:rsidR="0054754B" w:rsidRPr="00793DA3">
        <w:rPr>
          <w:rFonts w:ascii="Arial" w:hAnsi="Arial" w:cs="Arial"/>
          <w:iCs/>
          <w:sz w:val="24"/>
          <w:szCs w:val="24"/>
          <w:lang w:val="en-US"/>
        </w:rPr>
        <w:t>Ka</w:t>
      </w:r>
      <w:r w:rsidRPr="00793DA3">
        <w:rPr>
          <w:rFonts w:ascii="Arial" w:hAnsi="Arial" w:cs="Arial"/>
          <w:iCs/>
          <w:sz w:val="24"/>
          <w:szCs w:val="24"/>
          <w:lang w:val="en-US"/>
        </w:rPr>
        <w:t>nyetu</w:t>
      </w:r>
      <w:r w:rsidR="00F75863" w:rsidRPr="00793DA3">
        <w:rPr>
          <w:rFonts w:ascii="Arial" w:hAnsi="Arial" w:cs="Arial"/>
          <w:iCs/>
          <w:sz w:val="24"/>
          <w:szCs w:val="24"/>
          <w:lang w:val="en-US"/>
        </w:rPr>
        <w:t xml:space="preserve"> </w:t>
      </w:r>
      <w:r w:rsidR="0049058D" w:rsidRPr="00793DA3">
        <w:rPr>
          <w:rFonts w:ascii="Arial" w:hAnsi="Arial" w:cs="Arial"/>
          <w:iCs/>
          <w:sz w:val="24"/>
          <w:szCs w:val="24"/>
          <w:lang w:val="en-US"/>
        </w:rPr>
        <w:t xml:space="preserve">and Mr Kashera </w:t>
      </w:r>
      <w:r w:rsidR="00F75863" w:rsidRPr="00793DA3">
        <w:rPr>
          <w:rFonts w:ascii="Arial" w:hAnsi="Arial" w:cs="Arial"/>
          <w:iCs/>
          <w:sz w:val="24"/>
          <w:szCs w:val="24"/>
          <w:lang w:val="en-US"/>
        </w:rPr>
        <w:t xml:space="preserve">to conclude the transaction is clearly supported by the probabilities. I cannot see how he could have parted with such </w:t>
      </w:r>
      <w:r w:rsidR="00F72BA0" w:rsidRPr="00793DA3">
        <w:rPr>
          <w:rFonts w:ascii="Arial" w:hAnsi="Arial" w:cs="Arial"/>
          <w:iCs/>
          <w:sz w:val="24"/>
          <w:szCs w:val="24"/>
          <w:lang w:val="en-US"/>
        </w:rPr>
        <w:t xml:space="preserve">a </w:t>
      </w:r>
      <w:r w:rsidR="00F75863" w:rsidRPr="00793DA3">
        <w:rPr>
          <w:rFonts w:ascii="Arial" w:hAnsi="Arial" w:cs="Arial"/>
          <w:iCs/>
          <w:sz w:val="24"/>
          <w:szCs w:val="24"/>
          <w:lang w:val="en-US"/>
        </w:rPr>
        <w:t>substantial sum of money as he did</w:t>
      </w:r>
      <w:r w:rsidRPr="00793DA3">
        <w:rPr>
          <w:rFonts w:ascii="Arial" w:hAnsi="Arial" w:cs="Arial"/>
          <w:iCs/>
          <w:sz w:val="24"/>
          <w:szCs w:val="24"/>
          <w:lang w:val="en-US"/>
        </w:rPr>
        <w:t>,</w:t>
      </w:r>
      <w:r w:rsidR="00F75863" w:rsidRPr="00793DA3">
        <w:rPr>
          <w:rFonts w:ascii="Arial" w:hAnsi="Arial" w:cs="Arial"/>
          <w:iCs/>
          <w:sz w:val="24"/>
          <w:szCs w:val="24"/>
          <w:lang w:val="en-US"/>
        </w:rPr>
        <w:t xml:space="preserve"> if he wa</w:t>
      </w:r>
      <w:r w:rsidR="007B2FDB" w:rsidRPr="00793DA3">
        <w:rPr>
          <w:rFonts w:ascii="Arial" w:hAnsi="Arial" w:cs="Arial"/>
          <w:iCs/>
          <w:sz w:val="24"/>
          <w:szCs w:val="24"/>
          <w:lang w:val="en-US"/>
        </w:rPr>
        <w:t>s not so induced.</w:t>
      </w:r>
      <w:r w:rsidR="00F75863" w:rsidRPr="00793DA3">
        <w:rPr>
          <w:rFonts w:ascii="Arial" w:hAnsi="Arial" w:cs="Arial"/>
          <w:iCs/>
          <w:sz w:val="24"/>
          <w:szCs w:val="24"/>
          <w:lang w:val="en-US"/>
        </w:rPr>
        <w:t xml:space="preserve"> </w:t>
      </w:r>
      <w:r w:rsidRPr="00793DA3">
        <w:rPr>
          <w:rFonts w:ascii="Arial" w:hAnsi="Arial" w:cs="Arial"/>
          <w:iCs/>
          <w:sz w:val="24"/>
          <w:szCs w:val="24"/>
          <w:lang w:val="en-US"/>
        </w:rPr>
        <w:t xml:space="preserve">However, </w:t>
      </w:r>
      <w:r w:rsidR="009F7EE7" w:rsidRPr="00793DA3">
        <w:rPr>
          <w:rFonts w:ascii="Arial" w:hAnsi="Arial" w:cs="Arial"/>
          <w:iCs/>
          <w:sz w:val="24"/>
          <w:szCs w:val="24"/>
          <w:lang w:val="en-US"/>
        </w:rPr>
        <w:t>as</w:t>
      </w:r>
      <w:r w:rsidR="00F75863" w:rsidRPr="00793DA3">
        <w:rPr>
          <w:rFonts w:ascii="Arial" w:hAnsi="Arial" w:cs="Arial"/>
          <w:iCs/>
          <w:sz w:val="24"/>
          <w:szCs w:val="24"/>
          <w:lang w:val="en-US"/>
        </w:rPr>
        <w:t xml:space="preserve"> I already demonstrated</w:t>
      </w:r>
      <w:r w:rsidRPr="00793DA3">
        <w:rPr>
          <w:rFonts w:ascii="Arial" w:hAnsi="Arial" w:cs="Arial"/>
          <w:iCs/>
          <w:sz w:val="24"/>
          <w:szCs w:val="24"/>
          <w:lang w:val="en-US"/>
        </w:rPr>
        <w:t>,</w:t>
      </w:r>
      <w:r w:rsidR="00F75863" w:rsidRPr="00793DA3">
        <w:rPr>
          <w:rFonts w:ascii="Arial" w:hAnsi="Arial" w:cs="Arial"/>
          <w:iCs/>
          <w:sz w:val="24"/>
          <w:szCs w:val="24"/>
          <w:lang w:val="en-US"/>
        </w:rPr>
        <w:t xml:space="preserve"> when discussing the </w:t>
      </w:r>
      <w:r w:rsidR="00F75863" w:rsidRPr="00793DA3">
        <w:rPr>
          <w:rFonts w:ascii="Arial" w:hAnsi="Arial" w:cs="Arial"/>
          <w:i/>
          <w:iCs/>
          <w:sz w:val="24"/>
          <w:szCs w:val="24"/>
          <w:lang w:val="en-US"/>
        </w:rPr>
        <w:t>Turquand</w:t>
      </w:r>
      <w:r w:rsidR="00F75863" w:rsidRPr="00793DA3">
        <w:rPr>
          <w:rFonts w:ascii="Arial" w:hAnsi="Arial" w:cs="Arial"/>
          <w:iCs/>
          <w:sz w:val="24"/>
          <w:szCs w:val="24"/>
          <w:lang w:val="en-US"/>
        </w:rPr>
        <w:t xml:space="preserve"> rule, a remarkable feature of this case is the absence of any representation or overt act by those within the DTA with the power to bind it as to the authority of the regional leaders who purported to act on its behalf. </w:t>
      </w:r>
      <w:r w:rsidR="007B2FDB" w:rsidRPr="00793DA3">
        <w:rPr>
          <w:rFonts w:ascii="Arial" w:hAnsi="Arial" w:cs="Arial"/>
          <w:iCs/>
          <w:sz w:val="24"/>
          <w:szCs w:val="24"/>
          <w:lang w:val="en-US"/>
        </w:rPr>
        <w:t xml:space="preserve">It is in that respect that River View </w:t>
      </w:r>
      <w:r w:rsidR="007B2FDB" w:rsidRPr="00793DA3">
        <w:rPr>
          <w:rFonts w:ascii="Arial" w:hAnsi="Arial" w:cs="Arial"/>
          <w:iCs/>
          <w:sz w:val="24"/>
          <w:szCs w:val="24"/>
          <w:lang w:val="en-US"/>
        </w:rPr>
        <w:lastRenderedPageBreak/>
        <w:t>fails to meet an essential element of ostensible a</w:t>
      </w:r>
      <w:r w:rsidRPr="00793DA3">
        <w:rPr>
          <w:rFonts w:ascii="Arial" w:hAnsi="Arial" w:cs="Arial"/>
          <w:iCs/>
          <w:sz w:val="24"/>
          <w:szCs w:val="24"/>
          <w:lang w:val="en-US"/>
        </w:rPr>
        <w:t>uthority as enunciated by Lord K</w:t>
      </w:r>
      <w:r w:rsidR="007B2FDB" w:rsidRPr="00793DA3">
        <w:rPr>
          <w:rFonts w:ascii="Arial" w:hAnsi="Arial" w:cs="Arial"/>
          <w:iCs/>
          <w:sz w:val="24"/>
          <w:szCs w:val="24"/>
          <w:lang w:val="en-US"/>
        </w:rPr>
        <w:t>itchin: ‘</w:t>
      </w:r>
      <w:r w:rsidR="007B2FDB" w:rsidRPr="00793DA3">
        <w:rPr>
          <w:rFonts w:ascii="Arial" w:hAnsi="Arial" w:cs="Arial"/>
          <w:sz w:val="24"/>
          <w:szCs w:val="24"/>
          <w:lang w:val="en-US"/>
        </w:rPr>
        <w:t>ostensible authority is a relationship between the principal and the contractor and it is one created by the representation of the principal that the agent has authority on behalf of the principal to enter into a contract of a particular kind.’</w:t>
      </w:r>
    </w:p>
    <w:p w14:paraId="172E0A5A" w14:textId="77777777" w:rsidR="00F72BA0" w:rsidRPr="00793DA3" w:rsidRDefault="00F72BA0" w:rsidP="00F355DB">
      <w:pPr>
        <w:pStyle w:val="ListParagraph"/>
        <w:spacing w:line="480" w:lineRule="auto"/>
        <w:ind w:left="0"/>
        <w:jc w:val="both"/>
        <w:rPr>
          <w:rFonts w:ascii="Arial" w:hAnsi="Arial" w:cs="Arial"/>
          <w:lang w:val="en-US"/>
        </w:rPr>
      </w:pPr>
    </w:p>
    <w:p w14:paraId="5C4FD9BD" w14:textId="7C79CCB8" w:rsidR="00F72BA0" w:rsidRDefault="00E173F2" w:rsidP="00793DA3">
      <w:pPr>
        <w:pStyle w:val="NoSpacing"/>
        <w:numPr>
          <w:ilvl w:val="0"/>
          <w:numId w:val="7"/>
        </w:numPr>
        <w:spacing w:line="480" w:lineRule="auto"/>
        <w:ind w:left="0" w:firstLine="0"/>
        <w:jc w:val="both"/>
        <w:rPr>
          <w:rFonts w:ascii="Arial" w:hAnsi="Arial" w:cs="Arial"/>
          <w:sz w:val="24"/>
          <w:szCs w:val="24"/>
          <w:lang w:val="en-US"/>
        </w:rPr>
      </w:pPr>
      <w:r>
        <w:rPr>
          <w:rFonts w:ascii="Arial" w:hAnsi="Arial" w:cs="Arial"/>
          <w:sz w:val="24"/>
          <w:szCs w:val="24"/>
          <w:lang w:val="en-US"/>
        </w:rPr>
        <w:t>A</w:t>
      </w:r>
      <w:r w:rsidR="00F72BA0" w:rsidRPr="00793DA3">
        <w:rPr>
          <w:rFonts w:ascii="Arial" w:hAnsi="Arial" w:cs="Arial"/>
          <w:sz w:val="24"/>
          <w:szCs w:val="24"/>
          <w:lang w:val="en-US"/>
        </w:rPr>
        <w:t>gain</w:t>
      </w:r>
      <w:r>
        <w:rPr>
          <w:rFonts w:ascii="Arial" w:hAnsi="Arial" w:cs="Arial"/>
          <w:sz w:val="24"/>
          <w:szCs w:val="24"/>
          <w:lang w:val="en-US"/>
        </w:rPr>
        <w:t>, to</w:t>
      </w:r>
      <w:r w:rsidR="00F72BA0" w:rsidRPr="00793DA3">
        <w:rPr>
          <w:rFonts w:ascii="Arial" w:hAnsi="Arial" w:cs="Arial"/>
          <w:sz w:val="24"/>
          <w:szCs w:val="24"/>
          <w:lang w:val="en-US"/>
        </w:rPr>
        <w:t xml:space="preserve"> borrow from the learned authors of </w:t>
      </w:r>
      <w:r w:rsidR="00F72BA0" w:rsidRPr="00793DA3">
        <w:rPr>
          <w:rFonts w:ascii="Arial" w:hAnsi="Arial" w:cs="Arial"/>
          <w:i/>
          <w:sz w:val="24"/>
          <w:szCs w:val="24"/>
          <w:lang w:val="en-US"/>
        </w:rPr>
        <w:t>Lawsa</w:t>
      </w:r>
      <w:r w:rsidR="00F72BA0" w:rsidRPr="00793DA3">
        <w:rPr>
          <w:rFonts w:ascii="Arial" w:hAnsi="Arial" w:cs="Arial"/>
          <w:sz w:val="24"/>
          <w:szCs w:val="24"/>
          <w:lang w:val="en-US"/>
        </w:rPr>
        <w:t>:</w:t>
      </w:r>
      <w:r w:rsidR="00127980" w:rsidRPr="00793DA3">
        <w:rPr>
          <w:rStyle w:val="FootnoteReference"/>
          <w:rFonts w:ascii="Arial" w:hAnsi="Arial" w:cs="Arial"/>
          <w:sz w:val="24"/>
          <w:szCs w:val="24"/>
          <w:lang w:val="en-US"/>
        </w:rPr>
        <w:footnoteReference w:id="23"/>
      </w:r>
    </w:p>
    <w:p w14:paraId="7C11AE12" w14:textId="77777777" w:rsidR="003A44D2" w:rsidRPr="00793DA3" w:rsidRDefault="003A44D2" w:rsidP="003A44D2">
      <w:pPr>
        <w:pStyle w:val="NoSpacing"/>
        <w:spacing w:line="480" w:lineRule="auto"/>
        <w:jc w:val="both"/>
        <w:rPr>
          <w:rFonts w:ascii="Arial" w:hAnsi="Arial" w:cs="Arial"/>
          <w:sz w:val="24"/>
          <w:szCs w:val="24"/>
          <w:lang w:val="en-US"/>
        </w:rPr>
      </w:pPr>
    </w:p>
    <w:p w14:paraId="7E610697" w14:textId="00593685" w:rsidR="00F72BA0" w:rsidRDefault="00F72BA0" w:rsidP="003A44D2">
      <w:pPr>
        <w:pStyle w:val="ListParagraph"/>
        <w:spacing w:line="360" w:lineRule="auto"/>
        <w:jc w:val="both"/>
        <w:rPr>
          <w:rFonts w:ascii="Arial" w:hAnsi="Arial" w:cs="Arial"/>
          <w:sz w:val="22"/>
          <w:szCs w:val="22"/>
          <w:lang w:val="en-US"/>
        </w:rPr>
      </w:pPr>
      <w:r w:rsidRPr="00127980">
        <w:rPr>
          <w:rFonts w:ascii="Arial" w:hAnsi="Arial" w:cs="Arial"/>
          <w:sz w:val="22"/>
          <w:szCs w:val="22"/>
          <w:lang w:val="en-US"/>
        </w:rPr>
        <w:t xml:space="preserve">‘Clearly, the representation of the very person purporting to contract on behalf of the company [or </w:t>
      </w:r>
      <w:r w:rsidR="009F7EE7">
        <w:rPr>
          <w:rFonts w:ascii="Arial" w:hAnsi="Arial" w:cs="Arial"/>
          <w:sz w:val="22"/>
          <w:szCs w:val="22"/>
          <w:lang w:val="en-US"/>
        </w:rPr>
        <w:t xml:space="preserve">a </w:t>
      </w:r>
      <w:r w:rsidR="009F7EE7" w:rsidRPr="003A44D2">
        <w:rPr>
          <w:rFonts w:ascii="Arial" w:hAnsi="Arial" w:cs="Arial"/>
          <w:i/>
          <w:sz w:val="22"/>
          <w:szCs w:val="22"/>
          <w:lang w:val="en-US"/>
        </w:rPr>
        <w:t>universitas</w:t>
      </w:r>
      <w:r w:rsidR="009F7EE7">
        <w:rPr>
          <w:rFonts w:ascii="Arial" w:hAnsi="Arial" w:cs="Arial"/>
          <w:sz w:val="22"/>
          <w:szCs w:val="22"/>
          <w:lang w:val="en-US"/>
        </w:rPr>
        <w:t xml:space="preserve"> such as the DTA]</w:t>
      </w:r>
      <w:r w:rsidRPr="00127980">
        <w:rPr>
          <w:rFonts w:ascii="Arial" w:hAnsi="Arial" w:cs="Arial"/>
          <w:sz w:val="22"/>
          <w:szCs w:val="22"/>
          <w:lang w:val="en-US"/>
        </w:rPr>
        <w:t xml:space="preserve"> cannot be relied upon to create an estoppel. Such a representation is a representation by the company [or association] if, and only if, it was made by a person or persons who had actual authority to manage the business of the company either generally or in respect </w:t>
      </w:r>
      <w:r w:rsidR="00127980" w:rsidRPr="00127980">
        <w:rPr>
          <w:rFonts w:ascii="Arial" w:hAnsi="Arial" w:cs="Arial"/>
          <w:sz w:val="22"/>
          <w:szCs w:val="22"/>
          <w:lang w:val="en-US"/>
        </w:rPr>
        <w:t>of those matters to which the contract relates; or had actual authority to make representations on the company’s behalf; or were held out by the company as having authority to make representations on the company’s behalf; or were held out by the company as having authori</w:t>
      </w:r>
      <w:r w:rsidR="003A44D2">
        <w:rPr>
          <w:rFonts w:ascii="Arial" w:hAnsi="Arial" w:cs="Arial"/>
          <w:sz w:val="22"/>
          <w:szCs w:val="22"/>
          <w:lang w:val="en-US"/>
        </w:rPr>
        <w:t>ty to make such representations</w:t>
      </w:r>
      <w:r w:rsidR="00127980" w:rsidRPr="00127980">
        <w:rPr>
          <w:rFonts w:ascii="Arial" w:hAnsi="Arial" w:cs="Arial"/>
          <w:sz w:val="22"/>
          <w:szCs w:val="22"/>
          <w:lang w:val="en-US"/>
        </w:rPr>
        <w:t>.</w:t>
      </w:r>
      <w:r w:rsidR="003A44D2">
        <w:rPr>
          <w:rFonts w:ascii="Arial" w:hAnsi="Arial" w:cs="Arial"/>
          <w:sz w:val="22"/>
          <w:szCs w:val="22"/>
          <w:lang w:val="en-US"/>
        </w:rPr>
        <w:t>’</w:t>
      </w:r>
    </w:p>
    <w:p w14:paraId="778FF7CF" w14:textId="77777777" w:rsidR="009F7EE7" w:rsidRDefault="009F7EE7" w:rsidP="00F355DB">
      <w:pPr>
        <w:pStyle w:val="ListParagraph"/>
        <w:spacing w:line="480" w:lineRule="auto"/>
        <w:ind w:left="0"/>
        <w:jc w:val="both"/>
        <w:rPr>
          <w:rFonts w:ascii="Arial" w:hAnsi="Arial" w:cs="Arial"/>
          <w:sz w:val="22"/>
          <w:szCs w:val="22"/>
          <w:lang w:val="en-US"/>
        </w:rPr>
      </w:pPr>
    </w:p>
    <w:p w14:paraId="0111B219" w14:textId="39AD0DBE" w:rsidR="005D750E" w:rsidRPr="00793DA3" w:rsidRDefault="005D750E" w:rsidP="00793DA3">
      <w:pPr>
        <w:pStyle w:val="NoSpacing"/>
        <w:numPr>
          <w:ilvl w:val="0"/>
          <w:numId w:val="7"/>
        </w:numPr>
        <w:spacing w:line="480" w:lineRule="auto"/>
        <w:ind w:left="0" w:firstLine="0"/>
        <w:jc w:val="both"/>
        <w:rPr>
          <w:rFonts w:ascii="Arial" w:hAnsi="Arial" w:cs="Arial"/>
          <w:sz w:val="24"/>
          <w:szCs w:val="24"/>
          <w:lang w:val="en-US"/>
        </w:rPr>
      </w:pPr>
      <w:r w:rsidRPr="00793DA3">
        <w:rPr>
          <w:rFonts w:ascii="Arial" w:hAnsi="Arial" w:cs="Arial"/>
          <w:sz w:val="24"/>
          <w:szCs w:val="24"/>
          <w:lang w:val="en-US"/>
        </w:rPr>
        <w:t xml:space="preserve">If a comparison </w:t>
      </w:r>
      <w:r w:rsidR="006B14DC" w:rsidRPr="00793DA3">
        <w:rPr>
          <w:rFonts w:ascii="Arial" w:hAnsi="Arial" w:cs="Arial"/>
          <w:sz w:val="24"/>
          <w:szCs w:val="24"/>
          <w:lang w:val="en-US"/>
        </w:rPr>
        <w:t>is</w:t>
      </w:r>
      <w:r w:rsidR="009F7EE7" w:rsidRPr="00793DA3">
        <w:rPr>
          <w:rFonts w:ascii="Arial" w:hAnsi="Arial" w:cs="Arial"/>
          <w:sz w:val="24"/>
          <w:szCs w:val="24"/>
          <w:lang w:val="en-US"/>
        </w:rPr>
        <w:t xml:space="preserve"> drawn with</w:t>
      </w:r>
      <w:r w:rsidR="00B97A93">
        <w:rPr>
          <w:rFonts w:ascii="Arial" w:hAnsi="Arial" w:cs="Arial"/>
          <w:sz w:val="24"/>
          <w:szCs w:val="24"/>
          <w:lang w:val="en-US"/>
        </w:rPr>
        <w:t xml:space="preserve"> the</w:t>
      </w:r>
      <w:r w:rsidR="009F7EE7" w:rsidRPr="00793DA3">
        <w:rPr>
          <w:rFonts w:ascii="Arial" w:hAnsi="Arial" w:cs="Arial"/>
          <w:sz w:val="24"/>
          <w:szCs w:val="24"/>
          <w:lang w:val="en-US"/>
        </w:rPr>
        <w:t xml:space="preserve"> </w:t>
      </w:r>
      <w:r w:rsidR="009F7EE7" w:rsidRPr="00793DA3">
        <w:rPr>
          <w:rFonts w:ascii="Arial" w:hAnsi="Arial" w:cs="Arial"/>
          <w:i/>
          <w:sz w:val="24"/>
          <w:szCs w:val="24"/>
          <w:lang w:val="en-US"/>
        </w:rPr>
        <w:t>Tuckers</w:t>
      </w:r>
      <w:r w:rsidR="00BF6C53" w:rsidRPr="00793DA3">
        <w:rPr>
          <w:rStyle w:val="FootnoteReference"/>
          <w:rFonts w:ascii="Arial" w:hAnsi="Arial" w:cs="Arial"/>
          <w:sz w:val="24"/>
          <w:szCs w:val="24"/>
          <w:lang w:val="en-US"/>
        </w:rPr>
        <w:footnoteReference w:id="24"/>
      </w:r>
      <w:r w:rsidR="009F7EE7" w:rsidRPr="00793DA3">
        <w:rPr>
          <w:rFonts w:ascii="Arial" w:hAnsi="Arial" w:cs="Arial"/>
          <w:sz w:val="24"/>
          <w:szCs w:val="24"/>
          <w:lang w:val="en-US"/>
        </w:rPr>
        <w:t xml:space="preserve"> case, a representation made by a person holding office at the national level of the DTA hierarchy could re</w:t>
      </w:r>
      <w:r w:rsidR="00BF6C53" w:rsidRPr="00793DA3">
        <w:rPr>
          <w:rFonts w:ascii="Arial" w:hAnsi="Arial" w:cs="Arial"/>
          <w:sz w:val="24"/>
          <w:szCs w:val="24"/>
          <w:lang w:val="en-US"/>
        </w:rPr>
        <w:t>as</w:t>
      </w:r>
      <w:r w:rsidR="009F7EE7" w:rsidRPr="00793DA3">
        <w:rPr>
          <w:rFonts w:ascii="Arial" w:hAnsi="Arial" w:cs="Arial"/>
          <w:sz w:val="24"/>
          <w:szCs w:val="24"/>
          <w:lang w:val="en-US"/>
        </w:rPr>
        <w:t xml:space="preserve">onably be thought to be by a person with </w:t>
      </w:r>
      <w:r w:rsidR="00BF6C53" w:rsidRPr="00793DA3">
        <w:rPr>
          <w:rFonts w:ascii="Arial" w:hAnsi="Arial" w:cs="Arial"/>
          <w:sz w:val="24"/>
          <w:szCs w:val="24"/>
          <w:lang w:val="en-US"/>
        </w:rPr>
        <w:t>actual auth</w:t>
      </w:r>
      <w:r w:rsidR="003A44D2">
        <w:rPr>
          <w:rFonts w:ascii="Arial" w:hAnsi="Arial" w:cs="Arial"/>
          <w:sz w:val="24"/>
          <w:szCs w:val="24"/>
          <w:lang w:val="en-US"/>
        </w:rPr>
        <w:t>ority to manage the business of</w:t>
      </w:r>
      <w:r w:rsidR="009F7EE7" w:rsidRPr="00793DA3">
        <w:rPr>
          <w:rFonts w:ascii="Arial" w:hAnsi="Arial" w:cs="Arial"/>
          <w:sz w:val="24"/>
          <w:szCs w:val="24"/>
          <w:lang w:val="en-US"/>
        </w:rPr>
        <w:t xml:space="preserve"> </w:t>
      </w:r>
      <w:r w:rsidR="00BF6C53" w:rsidRPr="00793DA3">
        <w:rPr>
          <w:rFonts w:ascii="Arial" w:hAnsi="Arial" w:cs="Arial"/>
          <w:sz w:val="24"/>
          <w:szCs w:val="24"/>
          <w:lang w:val="en-US"/>
        </w:rPr>
        <w:t xml:space="preserve">the party. </w:t>
      </w:r>
    </w:p>
    <w:p w14:paraId="16CF2632" w14:textId="77777777" w:rsidR="005D750E" w:rsidRPr="00793DA3" w:rsidRDefault="005D750E" w:rsidP="00F355DB">
      <w:pPr>
        <w:pStyle w:val="ListParagraph"/>
        <w:spacing w:line="480" w:lineRule="auto"/>
        <w:ind w:left="0"/>
        <w:jc w:val="both"/>
        <w:rPr>
          <w:rFonts w:ascii="Arial" w:hAnsi="Arial" w:cs="Arial"/>
          <w:lang w:val="en-US"/>
        </w:rPr>
      </w:pPr>
    </w:p>
    <w:p w14:paraId="37BA21B7" w14:textId="3EF4F5FC" w:rsidR="00BF6C53" w:rsidRPr="00793DA3" w:rsidRDefault="00BF6C53" w:rsidP="00793DA3">
      <w:pPr>
        <w:pStyle w:val="NoSpacing"/>
        <w:numPr>
          <w:ilvl w:val="0"/>
          <w:numId w:val="7"/>
        </w:numPr>
        <w:spacing w:line="480" w:lineRule="auto"/>
        <w:ind w:left="0" w:firstLine="0"/>
        <w:jc w:val="both"/>
        <w:rPr>
          <w:rFonts w:ascii="Arial" w:hAnsi="Arial" w:cs="Arial"/>
          <w:sz w:val="24"/>
          <w:szCs w:val="24"/>
          <w:lang w:val="en-US"/>
        </w:rPr>
      </w:pPr>
      <w:r w:rsidRPr="00793DA3">
        <w:rPr>
          <w:rFonts w:ascii="Arial" w:hAnsi="Arial" w:cs="Arial"/>
          <w:sz w:val="24"/>
          <w:szCs w:val="24"/>
          <w:lang w:val="en-US"/>
        </w:rPr>
        <w:t xml:space="preserve">In </w:t>
      </w:r>
      <w:r w:rsidRPr="00793DA3">
        <w:rPr>
          <w:rFonts w:ascii="Arial" w:hAnsi="Arial" w:cs="Arial"/>
          <w:i/>
          <w:sz w:val="24"/>
          <w:szCs w:val="24"/>
          <w:lang w:val="en-US"/>
        </w:rPr>
        <w:t>Tuckers</w:t>
      </w:r>
      <w:r w:rsidRPr="00793DA3">
        <w:rPr>
          <w:rFonts w:ascii="Arial" w:hAnsi="Arial" w:cs="Arial"/>
          <w:sz w:val="24"/>
          <w:szCs w:val="24"/>
          <w:lang w:val="en-US"/>
        </w:rPr>
        <w:t xml:space="preserve"> the court stated that when contracting with a company</w:t>
      </w:r>
      <w:r w:rsidR="003A44D2">
        <w:rPr>
          <w:rFonts w:ascii="Arial" w:hAnsi="Arial" w:cs="Arial"/>
          <w:sz w:val="24"/>
          <w:szCs w:val="24"/>
          <w:lang w:val="en-US"/>
        </w:rPr>
        <w:t>,</w:t>
      </w:r>
      <w:r w:rsidRPr="00793DA3">
        <w:rPr>
          <w:rFonts w:ascii="Arial" w:hAnsi="Arial" w:cs="Arial"/>
          <w:sz w:val="24"/>
          <w:szCs w:val="24"/>
          <w:lang w:val="en-US"/>
        </w:rPr>
        <w:t xml:space="preserve"> the persons that may be encountered to be acting on its behalf are (a) the board of directors, (b) the managing director or chairman of the board of directors and (c) any other person such as the ordinary director or branch manager or secretary. In relation to these three groups the court stated that: </w:t>
      </w:r>
    </w:p>
    <w:p w14:paraId="53C7F6E1" w14:textId="77777777" w:rsidR="008A1E31" w:rsidRDefault="005D750E" w:rsidP="008A1E31">
      <w:pPr>
        <w:pStyle w:val="ListParagraph"/>
        <w:spacing w:line="360" w:lineRule="auto"/>
        <w:jc w:val="both"/>
        <w:rPr>
          <w:rFonts w:ascii="Arial" w:hAnsi="Arial" w:cs="Arial"/>
          <w:sz w:val="22"/>
          <w:szCs w:val="22"/>
          <w:lang w:val="en-US"/>
        </w:rPr>
      </w:pPr>
      <w:r>
        <w:rPr>
          <w:rFonts w:ascii="Arial" w:hAnsi="Arial" w:cs="Arial"/>
          <w:sz w:val="22"/>
          <w:szCs w:val="22"/>
          <w:lang w:val="en-US"/>
        </w:rPr>
        <w:lastRenderedPageBreak/>
        <w:t>‘</w:t>
      </w:r>
      <w:r w:rsidR="008A1E31">
        <w:rPr>
          <w:rFonts w:ascii="Arial" w:hAnsi="Arial" w:cs="Arial"/>
          <w:sz w:val="22"/>
          <w:szCs w:val="22"/>
          <w:lang w:val="en-US"/>
        </w:rPr>
        <w:t xml:space="preserve">5. </w:t>
      </w:r>
      <w:r w:rsidR="00BF6C53" w:rsidRPr="00BF6C53">
        <w:rPr>
          <w:rFonts w:ascii="Arial" w:hAnsi="Arial" w:cs="Arial"/>
          <w:sz w:val="22"/>
          <w:szCs w:val="22"/>
          <w:lang w:val="en-US"/>
        </w:rPr>
        <w:t>Where someone contracts with a company through the medium of the persons referred to in paras 4 (</w:t>
      </w:r>
      <w:r w:rsidR="00BF6C53" w:rsidRPr="008A1E31">
        <w:rPr>
          <w:rFonts w:ascii="Arial" w:hAnsi="Arial" w:cs="Arial"/>
          <w:i/>
          <w:sz w:val="22"/>
          <w:szCs w:val="22"/>
          <w:lang w:val="en-US"/>
        </w:rPr>
        <w:t>a</w:t>
      </w:r>
      <w:r w:rsidR="00BF6C53" w:rsidRPr="00BF6C53">
        <w:rPr>
          <w:rFonts w:ascii="Arial" w:hAnsi="Arial" w:cs="Arial"/>
          <w:sz w:val="22"/>
          <w:szCs w:val="22"/>
          <w:lang w:val="en-US"/>
        </w:rPr>
        <w:t>) and (</w:t>
      </w:r>
      <w:r w:rsidR="00BF6C53" w:rsidRPr="008A1E31">
        <w:rPr>
          <w:rFonts w:ascii="Arial" w:hAnsi="Arial" w:cs="Arial"/>
          <w:i/>
          <w:sz w:val="22"/>
          <w:szCs w:val="22"/>
          <w:lang w:val="en-US"/>
        </w:rPr>
        <w:t>b</w:t>
      </w:r>
      <w:r w:rsidR="00BF6C53" w:rsidRPr="00BF6C53">
        <w:rPr>
          <w:rFonts w:ascii="Arial" w:hAnsi="Arial" w:cs="Arial"/>
          <w:sz w:val="22"/>
          <w:szCs w:val="22"/>
          <w:lang w:val="en-US"/>
        </w:rPr>
        <w:t xml:space="preserve">) above, the company will usually be bound because these persons or bodies will, unless the articles of association decree otherwise, be taken to have authority in one form or another to bind the company in all matters affecting it. Moreover, all acts of internal management or organisation on which the exercise of such authority is dependent may, in terms of the </w:t>
      </w:r>
      <w:r w:rsidR="00BF6C53" w:rsidRPr="008A1E31">
        <w:rPr>
          <w:rFonts w:ascii="Arial" w:hAnsi="Arial" w:cs="Arial"/>
          <w:i/>
          <w:sz w:val="22"/>
          <w:szCs w:val="22"/>
          <w:lang w:val="en-US"/>
        </w:rPr>
        <w:t>Turquand</w:t>
      </w:r>
      <w:r w:rsidR="00BF6C53" w:rsidRPr="00BF6C53">
        <w:rPr>
          <w:rFonts w:ascii="Arial" w:hAnsi="Arial" w:cs="Arial"/>
          <w:sz w:val="22"/>
          <w:szCs w:val="22"/>
          <w:lang w:val="en-US"/>
        </w:rPr>
        <w:t xml:space="preserve"> rule, be assumed, by a </w:t>
      </w:r>
      <w:r w:rsidR="00BF6C53" w:rsidRPr="008A1E31">
        <w:rPr>
          <w:rFonts w:ascii="Arial" w:hAnsi="Arial" w:cs="Arial"/>
          <w:i/>
          <w:sz w:val="22"/>
          <w:szCs w:val="22"/>
          <w:lang w:val="en-US"/>
        </w:rPr>
        <w:t>bona fide</w:t>
      </w:r>
      <w:r w:rsidR="00BF6C53" w:rsidRPr="00BF6C53">
        <w:rPr>
          <w:rFonts w:ascii="Arial" w:hAnsi="Arial" w:cs="Arial"/>
          <w:sz w:val="22"/>
          <w:szCs w:val="22"/>
          <w:lang w:val="en-US"/>
        </w:rPr>
        <w:t xml:space="preserve"> third party, to have been properly and duly performed. Indeed, unless some such principle was accepted no one would be safe</w:t>
      </w:r>
      <w:r w:rsidR="008A1E31">
        <w:rPr>
          <w:rFonts w:ascii="Arial" w:hAnsi="Arial" w:cs="Arial"/>
          <w:sz w:val="22"/>
          <w:szCs w:val="22"/>
          <w:lang w:val="en-US"/>
        </w:rPr>
        <w:t xml:space="preserve"> in contracting with companies.</w:t>
      </w:r>
    </w:p>
    <w:p w14:paraId="586B2457" w14:textId="77777777" w:rsidR="008A1E31" w:rsidRDefault="008A1E31" w:rsidP="008A1E31">
      <w:pPr>
        <w:pStyle w:val="ListParagraph"/>
        <w:spacing w:line="360" w:lineRule="auto"/>
        <w:jc w:val="both"/>
        <w:rPr>
          <w:rFonts w:ascii="Arial" w:hAnsi="Arial" w:cs="Arial"/>
          <w:sz w:val="22"/>
          <w:szCs w:val="22"/>
          <w:lang w:val="en-US"/>
        </w:rPr>
      </w:pPr>
    </w:p>
    <w:p w14:paraId="0662DE23" w14:textId="215E0229" w:rsidR="00AB619A" w:rsidRPr="00BF6C53" w:rsidRDefault="008A1E31" w:rsidP="008A1E31">
      <w:pPr>
        <w:pStyle w:val="ListParagraph"/>
        <w:spacing w:line="360" w:lineRule="auto"/>
        <w:jc w:val="both"/>
        <w:rPr>
          <w:rFonts w:ascii="Arial" w:hAnsi="Arial" w:cs="Arial"/>
          <w:sz w:val="22"/>
          <w:szCs w:val="22"/>
          <w:lang w:val="en-US"/>
        </w:rPr>
      </w:pPr>
      <w:r>
        <w:rPr>
          <w:rFonts w:ascii="Arial" w:hAnsi="Arial" w:cs="Arial"/>
          <w:sz w:val="22"/>
          <w:szCs w:val="22"/>
          <w:lang w:val="en-US"/>
        </w:rPr>
        <w:t xml:space="preserve">6. </w:t>
      </w:r>
      <w:r w:rsidR="00BF6C53" w:rsidRPr="00BF6C53">
        <w:rPr>
          <w:rFonts w:ascii="Arial" w:hAnsi="Arial" w:cs="Arial"/>
          <w:sz w:val="22"/>
          <w:szCs w:val="22"/>
          <w:lang w:val="en-US"/>
        </w:rPr>
        <w:t>The same does not apply where the company is represented by the category of person referred to in para 4 (</w:t>
      </w:r>
      <w:r w:rsidR="00BF6C53" w:rsidRPr="008A1E31">
        <w:rPr>
          <w:rFonts w:ascii="Arial" w:hAnsi="Arial" w:cs="Arial"/>
          <w:i/>
          <w:sz w:val="22"/>
          <w:szCs w:val="22"/>
          <w:lang w:val="en-US"/>
        </w:rPr>
        <w:t>c</w:t>
      </w:r>
      <w:r w:rsidR="00BF6C53" w:rsidRPr="00BF6C53">
        <w:rPr>
          <w:rFonts w:ascii="Arial" w:hAnsi="Arial" w:cs="Arial"/>
          <w:sz w:val="22"/>
          <w:szCs w:val="22"/>
          <w:lang w:val="en-US"/>
        </w:rPr>
        <w:t xml:space="preserve">) above. </w:t>
      </w:r>
      <w:r w:rsidR="00BF6C53" w:rsidRPr="00BF6C53">
        <w:rPr>
          <w:rFonts w:ascii="Arial" w:hAnsi="Arial" w:cs="Arial"/>
          <w:sz w:val="22"/>
          <w:szCs w:val="22"/>
          <w:u w:val="single"/>
          <w:lang w:val="en-US"/>
        </w:rPr>
        <w:t>Here a third party is not automatically entitled to assume that such person has authority and the company is not precluded from repudiating liability on the ground that he had no authority to bind it.</w:t>
      </w:r>
      <w:r w:rsidR="00BF6C53" w:rsidRPr="00BF6C53">
        <w:rPr>
          <w:rFonts w:ascii="Arial" w:hAnsi="Arial" w:cs="Arial"/>
          <w:sz w:val="22"/>
          <w:szCs w:val="22"/>
          <w:lang w:val="en-US"/>
        </w:rPr>
        <w:t xml:space="preserve"> To hold the contrary would deprive a company of the rights which any natural principal would have of denying the allegation that a particular person is his agent. The application of the </w:t>
      </w:r>
      <w:r w:rsidR="00BF6C53" w:rsidRPr="008A1E31">
        <w:rPr>
          <w:rFonts w:ascii="Arial" w:hAnsi="Arial" w:cs="Arial"/>
          <w:i/>
          <w:sz w:val="22"/>
          <w:szCs w:val="22"/>
          <w:lang w:val="en-US"/>
        </w:rPr>
        <w:t xml:space="preserve">Turquand </w:t>
      </w:r>
      <w:r w:rsidR="00BF6C53" w:rsidRPr="00BF6C53">
        <w:rPr>
          <w:rFonts w:ascii="Arial" w:hAnsi="Arial" w:cs="Arial"/>
          <w:sz w:val="22"/>
          <w:szCs w:val="22"/>
          <w:lang w:val="en-US"/>
        </w:rPr>
        <w:t xml:space="preserve">rule in this sphere is limited. </w:t>
      </w:r>
      <w:r w:rsidR="00BF6C53" w:rsidRPr="00BF6C53">
        <w:rPr>
          <w:rFonts w:ascii="Arial" w:hAnsi="Arial" w:cs="Arial"/>
          <w:sz w:val="22"/>
          <w:szCs w:val="22"/>
          <w:u w:val="single"/>
          <w:lang w:val="en-US"/>
        </w:rPr>
        <w:t>It only comes into operation once the third party has surmounted the initial hurdle not present in cases falling under paras 4 (</w:t>
      </w:r>
      <w:r w:rsidR="00BF6C53" w:rsidRPr="008A1E31">
        <w:rPr>
          <w:rFonts w:ascii="Arial" w:hAnsi="Arial" w:cs="Arial"/>
          <w:i/>
          <w:sz w:val="22"/>
          <w:szCs w:val="22"/>
          <w:u w:val="single"/>
          <w:lang w:val="en-US"/>
        </w:rPr>
        <w:t>a</w:t>
      </w:r>
      <w:r w:rsidR="00BF6C53" w:rsidRPr="00BF6C53">
        <w:rPr>
          <w:rFonts w:ascii="Arial" w:hAnsi="Arial" w:cs="Arial"/>
          <w:sz w:val="22"/>
          <w:szCs w:val="22"/>
          <w:u w:val="single"/>
          <w:lang w:val="en-US"/>
        </w:rPr>
        <w:t>) or (</w:t>
      </w:r>
      <w:r w:rsidR="00BF6C53" w:rsidRPr="008A1E31">
        <w:rPr>
          <w:rFonts w:ascii="Arial" w:hAnsi="Arial" w:cs="Arial"/>
          <w:i/>
          <w:sz w:val="22"/>
          <w:szCs w:val="22"/>
          <w:u w:val="single"/>
          <w:lang w:val="en-US"/>
        </w:rPr>
        <w:t>b</w:t>
      </w:r>
      <w:r w:rsidR="00BF6C53" w:rsidRPr="00BF6C53">
        <w:rPr>
          <w:rFonts w:ascii="Arial" w:hAnsi="Arial" w:cs="Arial"/>
          <w:sz w:val="22"/>
          <w:szCs w:val="22"/>
          <w:u w:val="single"/>
          <w:lang w:val="en-US"/>
        </w:rPr>
        <w:t>) above and proves that the director or other person purporting to represent the company had authority.</w:t>
      </w:r>
      <w:r w:rsidR="00BF6C53" w:rsidRPr="00BF6C53">
        <w:rPr>
          <w:rFonts w:ascii="Arial" w:hAnsi="Arial" w:cs="Arial"/>
          <w:sz w:val="22"/>
          <w:szCs w:val="22"/>
          <w:lang w:val="en-US"/>
        </w:rPr>
        <w:t xml:space="preserve"> Once this is proved then, if the actual exercise of such authority is dependent upon some act of internal organisation, such can, by a </w:t>
      </w:r>
      <w:r w:rsidR="00BF6C53" w:rsidRPr="008A1E31">
        <w:rPr>
          <w:rFonts w:ascii="Arial" w:hAnsi="Arial" w:cs="Arial"/>
          <w:i/>
          <w:sz w:val="22"/>
          <w:szCs w:val="22"/>
          <w:lang w:val="en-US"/>
        </w:rPr>
        <w:t>bona fide</w:t>
      </w:r>
      <w:r w:rsidR="00BF6C53" w:rsidRPr="00BF6C53">
        <w:rPr>
          <w:rFonts w:ascii="Arial" w:hAnsi="Arial" w:cs="Arial"/>
          <w:sz w:val="22"/>
          <w:szCs w:val="22"/>
          <w:lang w:val="en-US"/>
        </w:rPr>
        <w:t xml:space="preserve"> third party, be assumed to have been completed. But in dealing with the type of person in question the other contracting party cannot use the </w:t>
      </w:r>
      <w:r w:rsidR="00BF6C53" w:rsidRPr="008A1E31">
        <w:rPr>
          <w:rFonts w:ascii="Arial" w:hAnsi="Arial" w:cs="Arial"/>
          <w:i/>
          <w:sz w:val="22"/>
          <w:szCs w:val="22"/>
          <w:lang w:val="en-US"/>
        </w:rPr>
        <w:t>Turquand</w:t>
      </w:r>
      <w:r w:rsidR="00BF6C53" w:rsidRPr="00BF6C53">
        <w:rPr>
          <w:rFonts w:ascii="Arial" w:hAnsi="Arial" w:cs="Arial"/>
          <w:sz w:val="22"/>
          <w:szCs w:val="22"/>
          <w:lang w:val="en-US"/>
        </w:rPr>
        <w:t xml:space="preserve"> rule to help him surmount the hurdle mentioned.’</w:t>
      </w:r>
      <w:r w:rsidR="00C94BBD">
        <w:rPr>
          <w:rStyle w:val="FootnoteReference"/>
          <w:rFonts w:ascii="Arial" w:hAnsi="Arial" w:cs="Arial"/>
          <w:sz w:val="22"/>
          <w:szCs w:val="22"/>
          <w:lang w:val="en-US"/>
        </w:rPr>
        <w:footnoteReference w:id="25"/>
      </w:r>
      <w:r w:rsidR="00DA155A">
        <w:rPr>
          <w:rFonts w:ascii="Arial" w:hAnsi="Arial" w:cs="Arial"/>
          <w:sz w:val="22"/>
          <w:szCs w:val="22"/>
          <w:lang w:val="en-US"/>
        </w:rPr>
        <w:t xml:space="preserve"> [My emphasis]</w:t>
      </w:r>
    </w:p>
    <w:p w14:paraId="64DC4661" w14:textId="77777777" w:rsidR="006D7E6F" w:rsidRPr="00793DA3" w:rsidRDefault="006D7E6F" w:rsidP="00F355DB">
      <w:pPr>
        <w:spacing w:line="480" w:lineRule="auto"/>
        <w:jc w:val="both"/>
        <w:rPr>
          <w:rFonts w:ascii="Arial" w:hAnsi="Arial" w:cs="Arial"/>
          <w:sz w:val="22"/>
          <w:szCs w:val="22"/>
          <w:lang w:val="en-US"/>
        </w:rPr>
      </w:pPr>
    </w:p>
    <w:p w14:paraId="67AFB051" w14:textId="2371F049" w:rsidR="00E173F2" w:rsidRDefault="006D7E6F" w:rsidP="00793DA3">
      <w:pPr>
        <w:pStyle w:val="NoSpacing"/>
        <w:numPr>
          <w:ilvl w:val="0"/>
          <w:numId w:val="7"/>
        </w:numPr>
        <w:spacing w:line="480" w:lineRule="auto"/>
        <w:ind w:left="0" w:firstLine="0"/>
        <w:jc w:val="both"/>
        <w:rPr>
          <w:rFonts w:ascii="Arial" w:hAnsi="Arial" w:cs="Arial"/>
          <w:sz w:val="24"/>
          <w:szCs w:val="24"/>
          <w:lang w:val="en-US"/>
        </w:rPr>
      </w:pPr>
      <w:r w:rsidRPr="00793DA3">
        <w:rPr>
          <w:rFonts w:ascii="Arial" w:hAnsi="Arial" w:cs="Arial"/>
          <w:sz w:val="24"/>
          <w:szCs w:val="24"/>
          <w:lang w:val="en-US"/>
        </w:rPr>
        <w:t xml:space="preserve">As far as ostensible authority goes, what is it that those with the necessary power to alienate </w:t>
      </w:r>
      <w:r w:rsidR="00F96BDD" w:rsidRPr="00793DA3">
        <w:rPr>
          <w:rFonts w:ascii="Arial" w:hAnsi="Arial" w:cs="Arial"/>
          <w:sz w:val="24"/>
          <w:szCs w:val="24"/>
          <w:lang w:val="en-US"/>
        </w:rPr>
        <w:t xml:space="preserve">DTA’s </w:t>
      </w:r>
      <w:r w:rsidR="00083DFA">
        <w:rPr>
          <w:rFonts w:ascii="Arial" w:hAnsi="Arial" w:cs="Arial"/>
          <w:sz w:val="24"/>
          <w:szCs w:val="24"/>
          <w:lang w:val="en-US"/>
        </w:rPr>
        <w:t>immovable</w:t>
      </w:r>
      <w:r w:rsidR="00F96BDD" w:rsidRPr="00793DA3">
        <w:rPr>
          <w:rFonts w:ascii="Arial" w:hAnsi="Arial" w:cs="Arial"/>
          <w:sz w:val="24"/>
          <w:szCs w:val="24"/>
          <w:lang w:val="en-US"/>
        </w:rPr>
        <w:t xml:space="preserve"> </w:t>
      </w:r>
      <w:r w:rsidRPr="00793DA3">
        <w:rPr>
          <w:rFonts w:ascii="Arial" w:hAnsi="Arial" w:cs="Arial"/>
          <w:sz w:val="24"/>
          <w:szCs w:val="24"/>
          <w:lang w:val="en-US"/>
        </w:rPr>
        <w:t xml:space="preserve">property represented to Mr </w:t>
      </w:r>
      <w:r w:rsidR="00F96BDD" w:rsidRPr="00793DA3">
        <w:rPr>
          <w:rFonts w:ascii="Arial" w:hAnsi="Arial" w:cs="Arial"/>
          <w:sz w:val="24"/>
          <w:szCs w:val="24"/>
          <w:lang w:val="en-US"/>
        </w:rPr>
        <w:t>Hausiku?</w:t>
      </w:r>
      <w:r w:rsidRPr="00793DA3">
        <w:rPr>
          <w:rFonts w:ascii="Arial" w:hAnsi="Arial" w:cs="Arial"/>
          <w:sz w:val="24"/>
          <w:szCs w:val="24"/>
          <w:lang w:val="en-US"/>
        </w:rPr>
        <w:t xml:space="preserve"> The only thing that River View puts up as evidence is the fact that </w:t>
      </w:r>
      <w:r w:rsidR="007F0043" w:rsidRPr="00E67470">
        <w:rPr>
          <w:rFonts w:ascii="Arial" w:hAnsi="Arial" w:cs="Arial"/>
          <w:sz w:val="24"/>
          <w:szCs w:val="24"/>
          <w:lang w:val="en-US"/>
        </w:rPr>
        <w:t xml:space="preserve">Messrs </w:t>
      </w:r>
      <w:r w:rsidR="0054754B" w:rsidRPr="00E67470">
        <w:rPr>
          <w:rFonts w:ascii="Arial" w:hAnsi="Arial" w:cs="Arial"/>
          <w:sz w:val="24"/>
          <w:szCs w:val="24"/>
          <w:lang w:val="en-US"/>
        </w:rPr>
        <w:t>Ka</w:t>
      </w:r>
      <w:r w:rsidR="007F0043" w:rsidRPr="00E67470">
        <w:rPr>
          <w:rFonts w:ascii="Arial" w:hAnsi="Arial" w:cs="Arial"/>
          <w:sz w:val="24"/>
          <w:szCs w:val="24"/>
          <w:lang w:val="en-US"/>
        </w:rPr>
        <w:t>nyetu</w:t>
      </w:r>
      <w:r w:rsidRPr="00793DA3">
        <w:rPr>
          <w:rFonts w:ascii="Arial" w:hAnsi="Arial" w:cs="Arial"/>
          <w:sz w:val="24"/>
          <w:szCs w:val="24"/>
          <w:lang w:val="en-US"/>
        </w:rPr>
        <w:t xml:space="preserve"> and Kashera were the public face of the party in the region and that they acted on behalf of the party in a </w:t>
      </w:r>
      <w:r w:rsidR="00F96BDD" w:rsidRPr="00793DA3">
        <w:rPr>
          <w:rFonts w:ascii="Arial" w:hAnsi="Arial" w:cs="Arial"/>
          <w:sz w:val="24"/>
          <w:szCs w:val="24"/>
          <w:lang w:val="en-US"/>
        </w:rPr>
        <w:t xml:space="preserve">related contemporaneous </w:t>
      </w:r>
      <w:r w:rsidRPr="00793DA3">
        <w:rPr>
          <w:rFonts w:ascii="Arial" w:hAnsi="Arial" w:cs="Arial"/>
          <w:sz w:val="24"/>
          <w:szCs w:val="24"/>
          <w:lang w:val="en-US"/>
        </w:rPr>
        <w:t>transaction that benefitted it (</w:t>
      </w:r>
      <w:r w:rsidR="008A1E31">
        <w:rPr>
          <w:rFonts w:ascii="Arial" w:hAnsi="Arial" w:cs="Arial"/>
          <w:sz w:val="24"/>
          <w:szCs w:val="24"/>
          <w:lang w:val="en-US"/>
        </w:rPr>
        <w:t>ie</w:t>
      </w:r>
      <w:r w:rsidRPr="00793DA3">
        <w:rPr>
          <w:rFonts w:ascii="Arial" w:hAnsi="Arial" w:cs="Arial"/>
          <w:sz w:val="24"/>
          <w:szCs w:val="24"/>
          <w:lang w:val="en-US"/>
        </w:rPr>
        <w:t xml:space="preserve"> the transfer from RTC to DTA) and then effecting transfer to River View.</w:t>
      </w:r>
      <w:r w:rsidR="00F10DE0" w:rsidRPr="00793DA3">
        <w:rPr>
          <w:rFonts w:ascii="Arial" w:hAnsi="Arial" w:cs="Arial"/>
          <w:sz w:val="24"/>
          <w:szCs w:val="24"/>
          <w:lang w:val="en-US"/>
        </w:rPr>
        <w:t xml:space="preserve"> </w:t>
      </w:r>
    </w:p>
    <w:p w14:paraId="1BA1E171" w14:textId="77777777" w:rsidR="00E173F2" w:rsidRDefault="00E173F2" w:rsidP="00E173F2">
      <w:pPr>
        <w:pStyle w:val="NoSpacing"/>
        <w:spacing w:line="480" w:lineRule="auto"/>
        <w:jc w:val="both"/>
        <w:rPr>
          <w:rFonts w:ascii="Arial" w:hAnsi="Arial" w:cs="Arial"/>
          <w:sz w:val="24"/>
          <w:szCs w:val="24"/>
          <w:lang w:val="en-US"/>
        </w:rPr>
      </w:pPr>
    </w:p>
    <w:p w14:paraId="77D9C338" w14:textId="6F27DD1E" w:rsidR="006D7E6F" w:rsidRPr="00793DA3" w:rsidRDefault="00F10DE0" w:rsidP="00793DA3">
      <w:pPr>
        <w:pStyle w:val="NoSpacing"/>
        <w:numPr>
          <w:ilvl w:val="0"/>
          <w:numId w:val="7"/>
        </w:numPr>
        <w:spacing w:line="480" w:lineRule="auto"/>
        <w:ind w:left="0" w:firstLine="0"/>
        <w:jc w:val="both"/>
        <w:rPr>
          <w:rFonts w:ascii="Arial" w:hAnsi="Arial" w:cs="Arial"/>
          <w:sz w:val="24"/>
          <w:szCs w:val="24"/>
          <w:lang w:val="en-US"/>
        </w:rPr>
      </w:pPr>
      <w:r w:rsidRPr="00793DA3">
        <w:rPr>
          <w:rFonts w:ascii="Arial" w:hAnsi="Arial" w:cs="Arial"/>
          <w:sz w:val="24"/>
          <w:szCs w:val="24"/>
          <w:lang w:val="en-US"/>
        </w:rPr>
        <w:t>That is not good enough</w:t>
      </w:r>
      <w:r w:rsidR="005D750E" w:rsidRPr="00793DA3">
        <w:rPr>
          <w:rFonts w:ascii="Arial" w:hAnsi="Arial" w:cs="Arial"/>
          <w:sz w:val="24"/>
          <w:szCs w:val="24"/>
          <w:lang w:val="en-US"/>
        </w:rPr>
        <w:t xml:space="preserve">. As I have already demonstrated </w:t>
      </w:r>
      <w:r w:rsidRPr="00793DA3">
        <w:rPr>
          <w:rFonts w:ascii="Arial" w:hAnsi="Arial" w:cs="Arial"/>
          <w:sz w:val="24"/>
          <w:szCs w:val="24"/>
          <w:lang w:val="en-US"/>
        </w:rPr>
        <w:t>a</w:t>
      </w:r>
      <w:r w:rsidR="005D750E" w:rsidRPr="00793DA3">
        <w:rPr>
          <w:rFonts w:ascii="Arial" w:hAnsi="Arial" w:cs="Arial"/>
          <w:sz w:val="24"/>
          <w:szCs w:val="24"/>
          <w:lang w:val="en-US"/>
        </w:rPr>
        <w:t xml:space="preserve"> self-serving representation by the person making it</w:t>
      </w:r>
      <w:r w:rsidRPr="00793DA3">
        <w:rPr>
          <w:rFonts w:ascii="Arial" w:hAnsi="Arial" w:cs="Arial"/>
          <w:sz w:val="24"/>
          <w:szCs w:val="24"/>
          <w:lang w:val="en-US"/>
        </w:rPr>
        <w:t xml:space="preserve"> do</w:t>
      </w:r>
      <w:r w:rsidR="005D750E" w:rsidRPr="00793DA3">
        <w:rPr>
          <w:rFonts w:ascii="Arial" w:hAnsi="Arial" w:cs="Arial"/>
          <w:sz w:val="24"/>
          <w:szCs w:val="24"/>
          <w:lang w:val="en-US"/>
        </w:rPr>
        <w:t>es</w:t>
      </w:r>
      <w:r w:rsidR="007F0043" w:rsidRPr="00793DA3">
        <w:rPr>
          <w:rFonts w:ascii="Arial" w:hAnsi="Arial" w:cs="Arial"/>
          <w:sz w:val="24"/>
          <w:szCs w:val="24"/>
          <w:lang w:val="en-US"/>
        </w:rPr>
        <w:t xml:space="preserve"> not pass muster to engage </w:t>
      </w:r>
      <w:r w:rsidRPr="00793DA3">
        <w:rPr>
          <w:rFonts w:ascii="Arial" w:hAnsi="Arial" w:cs="Arial"/>
          <w:sz w:val="24"/>
          <w:szCs w:val="24"/>
          <w:lang w:val="en-US"/>
        </w:rPr>
        <w:t xml:space="preserve">estoppel </w:t>
      </w:r>
      <w:r w:rsidR="00F96BDD" w:rsidRPr="00793DA3">
        <w:rPr>
          <w:rFonts w:ascii="Arial" w:hAnsi="Arial" w:cs="Arial"/>
          <w:sz w:val="24"/>
          <w:szCs w:val="24"/>
          <w:lang w:val="en-US"/>
        </w:rPr>
        <w:t xml:space="preserve">by agency </w:t>
      </w:r>
      <w:r w:rsidRPr="00793DA3">
        <w:rPr>
          <w:rFonts w:ascii="Arial" w:hAnsi="Arial" w:cs="Arial"/>
          <w:sz w:val="24"/>
          <w:szCs w:val="24"/>
          <w:lang w:val="en-US"/>
        </w:rPr>
        <w:t>arising from ostensible authority.</w:t>
      </w:r>
      <w:r w:rsidR="00E67470">
        <w:rPr>
          <w:rFonts w:ascii="Arial" w:hAnsi="Arial" w:cs="Arial"/>
          <w:sz w:val="24"/>
          <w:szCs w:val="24"/>
          <w:lang w:val="en-US"/>
        </w:rPr>
        <w:t xml:space="preserve"> Even if one accepts that Mr Hausiku was misled by Messrs Kanyetu and Kashera, it was not as a result of any representation ‘permitted by or made by’</w:t>
      </w:r>
      <w:r w:rsidR="00E67470">
        <w:rPr>
          <w:rStyle w:val="FootnoteReference"/>
          <w:rFonts w:ascii="Arial" w:hAnsi="Arial" w:cs="Arial"/>
          <w:sz w:val="24"/>
          <w:szCs w:val="24"/>
          <w:lang w:val="en-US"/>
        </w:rPr>
        <w:footnoteReference w:id="26"/>
      </w:r>
      <w:r w:rsidR="00E67470">
        <w:rPr>
          <w:rFonts w:ascii="Arial" w:hAnsi="Arial" w:cs="Arial"/>
          <w:sz w:val="24"/>
          <w:szCs w:val="24"/>
          <w:lang w:val="en-US"/>
        </w:rPr>
        <w:t xml:space="preserve"> </w:t>
      </w:r>
      <w:r w:rsidR="00E77EA3">
        <w:rPr>
          <w:rFonts w:ascii="Arial" w:hAnsi="Arial" w:cs="Arial"/>
          <w:sz w:val="24"/>
          <w:szCs w:val="24"/>
          <w:lang w:val="en-US"/>
        </w:rPr>
        <w:t>the purported principal, the DTA.</w:t>
      </w:r>
      <w:r w:rsidR="00E67470">
        <w:rPr>
          <w:rFonts w:ascii="Arial" w:hAnsi="Arial" w:cs="Arial"/>
          <w:sz w:val="24"/>
          <w:szCs w:val="24"/>
          <w:lang w:val="en-US"/>
        </w:rPr>
        <w:t>The representations were made by Kanyetu and Kashera</w:t>
      </w:r>
      <w:r w:rsidR="00E173F2">
        <w:rPr>
          <w:rFonts w:ascii="Arial" w:hAnsi="Arial" w:cs="Arial"/>
          <w:sz w:val="24"/>
          <w:szCs w:val="24"/>
          <w:lang w:val="en-US"/>
        </w:rPr>
        <w:t xml:space="preserve"> and as</w:t>
      </w:r>
      <w:r w:rsidR="00E67470">
        <w:rPr>
          <w:rFonts w:ascii="Arial" w:hAnsi="Arial" w:cs="Arial"/>
          <w:sz w:val="24"/>
          <w:szCs w:val="24"/>
          <w:lang w:val="en-US"/>
        </w:rPr>
        <w:t xml:space="preserve"> Lord Kitch</w:t>
      </w:r>
      <w:r w:rsidR="00AA622A">
        <w:rPr>
          <w:rFonts w:ascii="Arial" w:hAnsi="Arial" w:cs="Arial"/>
          <w:sz w:val="24"/>
          <w:szCs w:val="24"/>
          <w:lang w:val="en-US"/>
        </w:rPr>
        <w:t>i</w:t>
      </w:r>
      <w:r w:rsidR="00E67470">
        <w:rPr>
          <w:rFonts w:ascii="Arial" w:hAnsi="Arial" w:cs="Arial"/>
          <w:sz w:val="24"/>
          <w:szCs w:val="24"/>
          <w:lang w:val="en-US"/>
        </w:rPr>
        <w:t>n put it</w:t>
      </w:r>
      <w:r w:rsidR="0011489B">
        <w:rPr>
          <w:rFonts w:ascii="Arial" w:hAnsi="Arial" w:cs="Arial"/>
          <w:sz w:val="24"/>
          <w:szCs w:val="24"/>
          <w:lang w:val="en-US"/>
        </w:rPr>
        <w:t>, courts resist the notion that an agent can cloth himself with authority.</w:t>
      </w:r>
      <w:r w:rsidR="0011489B">
        <w:rPr>
          <w:rStyle w:val="FootnoteReference"/>
          <w:rFonts w:ascii="Arial" w:hAnsi="Arial" w:cs="Arial"/>
          <w:sz w:val="24"/>
          <w:szCs w:val="24"/>
          <w:lang w:val="en-US"/>
        </w:rPr>
        <w:footnoteReference w:id="27"/>
      </w:r>
    </w:p>
    <w:p w14:paraId="6BF0B95F" w14:textId="77777777" w:rsidR="00F10DE0" w:rsidRPr="00793DA3" w:rsidRDefault="00F10DE0" w:rsidP="00F355DB">
      <w:pPr>
        <w:spacing w:line="480" w:lineRule="auto"/>
        <w:jc w:val="both"/>
        <w:rPr>
          <w:rFonts w:ascii="Arial" w:hAnsi="Arial" w:cs="Arial"/>
          <w:lang w:val="en-US"/>
        </w:rPr>
      </w:pPr>
    </w:p>
    <w:p w14:paraId="08153A43" w14:textId="5BD8DD1C" w:rsidR="005F2481" w:rsidRPr="007F0043" w:rsidRDefault="00F10DE0" w:rsidP="00793DA3">
      <w:pPr>
        <w:pStyle w:val="NoSpacing"/>
        <w:numPr>
          <w:ilvl w:val="0"/>
          <w:numId w:val="7"/>
        </w:numPr>
        <w:spacing w:line="480" w:lineRule="auto"/>
        <w:ind w:left="0" w:firstLine="0"/>
        <w:jc w:val="both"/>
        <w:rPr>
          <w:rFonts w:ascii="Arial" w:hAnsi="Arial" w:cs="Arial"/>
          <w:lang w:val="en-US"/>
        </w:rPr>
      </w:pPr>
      <w:r w:rsidRPr="00793DA3">
        <w:rPr>
          <w:rFonts w:ascii="Arial" w:hAnsi="Arial" w:cs="Arial"/>
          <w:sz w:val="24"/>
          <w:szCs w:val="24"/>
          <w:lang w:val="en-US"/>
        </w:rPr>
        <w:t xml:space="preserve">I am satisfied therefore that River View has not made out the case for the application of the </w:t>
      </w:r>
      <w:r w:rsidRPr="00793DA3">
        <w:rPr>
          <w:rFonts w:ascii="Arial" w:hAnsi="Arial" w:cs="Arial"/>
          <w:i/>
          <w:sz w:val="24"/>
          <w:szCs w:val="24"/>
          <w:lang w:val="en-US"/>
        </w:rPr>
        <w:t xml:space="preserve">Turquand </w:t>
      </w:r>
      <w:r w:rsidRPr="00793DA3">
        <w:rPr>
          <w:rFonts w:ascii="Arial" w:hAnsi="Arial" w:cs="Arial"/>
          <w:sz w:val="24"/>
          <w:szCs w:val="24"/>
          <w:lang w:val="en-US"/>
        </w:rPr>
        <w:t>rule or estoppel</w:t>
      </w:r>
      <w:r w:rsidR="00F96BDD" w:rsidRPr="00793DA3">
        <w:rPr>
          <w:rFonts w:ascii="Arial" w:hAnsi="Arial" w:cs="Arial"/>
          <w:sz w:val="24"/>
          <w:szCs w:val="24"/>
          <w:lang w:val="en-US"/>
        </w:rPr>
        <w:t xml:space="preserve"> </w:t>
      </w:r>
      <w:r w:rsidR="00C37D2F">
        <w:rPr>
          <w:rFonts w:ascii="Arial" w:hAnsi="Arial" w:cs="Arial"/>
          <w:sz w:val="24"/>
          <w:szCs w:val="24"/>
          <w:lang w:val="en-US"/>
        </w:rPr>
        <w:t>by agency</w:t>
      </w:r>
      <w:r w:rsidR="00C37D2F" w:rsidRPr="00793DA3">
        <w:rPr>
          <w:rFonts w:ascii="Arial" w:hAnsi="Arial" w:cs="Arial"/>
          <w:sz w:val="24"/>
          <w:szCs w:val="24"/>
          <w:lang w:val="en-US"/>
        </w:rPr>
        <w:t xml:space="preserve"> </w:t>
      </w:r>
      <w:r w:rsidRPr="00793DA3">
        <w:rPr>
          <w:rFonts w:ascii="Arial" w:hAnsi="Arial" w:cs="Arial"/>
          <w:sz w:val="24"/>
          <w:szCs w:val="24"/>
          <w:lang w:val="en-US"/>
        </w:rPr>
        <w:t>arising from ostensible authority.</w:t>
      </w:r>
      <w:r w:rsidR="002224E6" w:rsidRPr="00793DA3">
        <w:rPr>
          <w:rFonts w:ascii="Arial" w:hAnsi="Arial" w:cs="Arial"/>
          <w:sz w:val="24"/>
          <w:szCs w:val="24"/>
          <w:lang w:val="en-US"/>
        </w:rPr>
        <w:t xml:space="preserve"> That makes it unnecessary </w:t>
      </w:r>
      <w:r w:rsidR="00E173F2">
        <w:rPr>
          <w:rFonts w:ascii="Arial" w:hAnsi="Arial" w:cs="Arial"/>
          <w:sz w:val="24"/>
          <w:szCs w:val="24"/>
          <w:lang w:val="en-US"/>
        </w:rPr>
        <w:t>to</w:t>
      </w:r>
      <w:r w:rsidR="00F96BDD" w:rsidRPr="00793DA3">
        <w:rPr>
          <w:rFonts w:ascii="Arial" w:hAnsi="Arial" w:cs="Arial"/>
          <w:sz w:val="24"/>
          <w:szCs w:val="24"/>
          <w:lang w:val="en-US"/>
        </w:rPr>
        <w:t xml:space="preserve"> decide </w:t>
      </w:r>
      <w:r w:rsidR="002224E6" w:rsidRPr="00793DA3">
        <w:rPr>
          <w:rFonts w:ascii="Arial" w:hAnsi="Arial" w:cs="Arial"/>
          <w:sz w:val="24"/>
          <w:szCs w:val="24"/>
          <w:lang w:val="en-US"/>
        </w:rPr>
        <w:t>whether the fraud perpetrated on the Receiver of Revenue vitiated the agreement.</w:t>
      </w:r>
      <w:r w:rsidR="00F96BDD" w:rsidRPr="00793DA3">
        <w:rPr>
          <w:rFonts w:ascii="Arial" w:hAnsi="Arial" w:cs="Arial"/>
          <w:sz w:val="24"/>
          <w:szCs w:val="24"/>
          <w:lang w:val="en-US"/>
        </w:rPr>
        <w:t xml:space="preserve"> </w:t>
      </w:r>
    </w:p>
    <w:p w14:paraId="3168CB79" w14:textId="77777777" w:rsidR="005F2481" w:rsidRDefault="005F2481" w:rsidP="00F355DB">
      <w:pPr>
        <w:pStyle w:val="ListParagraph"/>
        <w:spacing w:line="480" w:lineRule="auto"/>
        <w:ind w:left="0"/>
        <w:jc w:val="both"/>
        <w:rPr>
          <w:rFonts w:ascii="Arial" w:hAnsi="Arial" w:cs="Arial"/>
          <w:i/>
          <w:iCs/>
          <w:lang w:val="en-US"/>
        </w:rPr>
      </w:pPr>
    </w:p>
    <w:p w14:paraId="6E2A4E90" w14:textId="63866B55" w:rsidR="005F2481" w:rsidRDefault="005F2481" w:rsidP="005D750E">
      <w:pPr>
        <w:pStyle w:val="ListParagraph"/>
        <w:spacing w:line="480" w:lineRule="auto"/>
        <w:ind w:left="0"/>
        <w:jc w:val="both"/>
        <w:rPr>
          <w:rFonts w:ascii="Arial" w:hAnsi="Arial" w:cs="Arial"/>
          <w:lang w:val="en-US"/>
        </w:rPr>
      </w:pPr>
      <w:r w:rsidRPr="00ED541E">
        <w:rPr>
          <w:rFonts w:ascii="Arial" w:hAnsi="Arial" w:cs="Arial"/>
          <w:i/>
          <w:iCs/>
          <w:lang w:val="en-US"/>
        </w:rPr>
        <w:t xml:space="preserve">The </w:t>
      </w:r>
      <w:r>
        <w:rPr>
          <w:rFonts w:ascii="Arial" w:hAnsi="Arial" w:cs="Arial"/>
          <w:i/>
          <w:iCs/>
          <w:lang w:val="en-US"/>
        </w:rPr>
        <w:t>in</w:t>
      </w:r>
      <w:r w:rsidRPr="00ED541E">
        <w:rPr>
          <w:rFonts w:ascii="Arial" w:hAnsi="Arial" w:cs="Arial"/>
          <w:i/>
          <w:iCs/>
          <w:lang w:val="en-US"/>
        </w:rPr>
        <w:t>divisibility of the agreement</w:t>
      </w:r>
    </w:p>
    <w:p w14:paraId="315B8EE2" w14:textId="54761C5F" w:rsidR="002224E6" w:rsidRPr="00793DA3" w:rsidRDefault="002224E6" w:rsidP="00793DA3">
      <w:pPr>
        <w:pStyle w:val="NoSpacing"/>
        <w:numPr>
          <w:ilvl w:val="0"/>
          <w:numId w:val="7"/>
        </w:numPr>
        <w:spacing w:line="480" w:lineRule="auto"/>
        <w:ind w:left="0" w:firstLine="0"/>
        <w:jc w:val="both"/>
        <w:rPr>
          <w:rFonts w:ascii="Arial" w:hAnsi="Arial" w:cs="Arial"/>
          <w:sz w:val="24"/>
          <w:szCs w:val="24"/>
          <w:lang w:val="en-US"/>
        </w:rPr>
      </w:pPr>
      <w:r w:rsidRPr="00793DA3">
        <w:rPr>
          <w:rFonts w:ascii="Arial" w:hAnsi="Arial" w:cs="Arial"/>
          <w:sz w:val="24"/>
          <w:szCs w:val="24"/>
          <w:lang w:val="en-US"/>
        </w:rPr>
        <w:t xml:space="preserve">I still have to consider the non-severability argument advanced on behalf of River View. </w:t>
      </w:r>
      <w:r w:rsidR="00601794" w:rsidRPr="00793DA3">
        <w:rPr>
          <w:rFonts w:ascii="Arial" w:hAnsi="Arial" w:cs="Arial"/>
          <w:sz w:val="24"/>
          <w:szCs w:val="24"/>
          <w:lang w:val="en-US"/>
        </w:rPr>
        <w:t xml:space="preserve">It is said in </w:t>
      </w:r>
      <w:r w:rsidR="00AE1610">
        <w:rPr>
          <w:rFonts w:ascii="Arial" w:hAnsi="Arial" w:cs="Arial"/>
          <w:sz w:val="24"/>
          <w:szCs w:val="24"/>
          <w:lang w:val="en-US"/>
        </w:rPr>
        <w:t xml:space="preserve">that </w:t>
      </w:r>
      <w:r w:rsidR="00601794" w:rsidRPr="00793DA3">
        <w:rPr>
          <w:rFonts w:ascii="Arial" w:hAnsi="Arial" w:cs="Arial"/>
          <w:sz w:val="24"/>
          <w:szCs w:val="24"/>
          <w:lang w:val="en-US"/>
        </w:rPr>
        <w:t>regard that the transfer to DTA from RTC was inseparable from and not possible without the transfer to River View. I</w:t>
      </w:r>
      <w:r w:rsidR="00F96BDD" w:rsidRPr="00793DA3">
        <w:rPr>
          <w:rFonts w:ascii="Arial" w:hAnsi="Arial" w:cs="Arial"/>
          <w:sz w:val="24"/>
          <w:szCs w:val="24"/>
          <w:lang w:val="en-US"/>
        </w:rPr>
        <w:t>n</w:t>
      </w:r>
      <w:r w:rsidR="00601794" w:rsidRPr="00793DA3">
        <w:rPr>
          <w:rFonts w:ascii="Arial" w:hAnsi="Arial" w:cs="Arial"/>
          <w:sz w:val="24"/>
          <w:szCs w:val="24"/>
          <w:lang w:val="en-US"/>
        </w:rPr>
        <w:t xml:space="preserve"> other words, the parties at </w:t>
      </w:r>
      <w:r w:rsidR="00934C0B">
        <w:rPr>
          <w:rFonts w:ascii="Arial" w:hAnsi="Arial" w:cs="Arial"/>
          <w:sz w:val="24"/>
          <w:szCs w:val="24"/>
          <w:lang w:val="en-US"/>
        </w:rPr>
        <w:t xml:space="preserve">all </w:t>
      </w:r>
      <w:r w:rsidR="00D46C4C" w:rsidRPr="00793DA3">
        <w:rPr>
          <w:rFonts w:ascii="Arial" w:hAnsi="Arial" w:cs="Arial"/>
          <w:sz w:val="24"/>
          <w:szCs w:val="24"/>
          <w:lang w:val="en-US"/>
        </w:rPr>
        <w:t>time</w:t>
      </w:r>
      <w:r w:rsidR="00934C0B">
        <w:rPr>
          <w:rFonts w:ascii="Arial" w:hAnsi="Arial" w:cs="Arial"/>
          <w:sz w:val="24"/>
          <w:szCs w:val="24"/>
          <w:lang w:val="en-US"/>
        </w:rPr>
        <w:t>s</w:t>
      </w:r>
      <w:r w:rsidR="00601794" w:rsidRPr="00793DA3">
        <w:rPr>
          <w:rFonts w:ascii="Arial" w:hAnsi="Arial" w:cs="Arial"/>
          <w:sz w:val="24"/>
          <w:szCs w:val="24"/>
          <w:lang w:val="en-US"/>
        </w:rPr>
        <w:t xml:space="preserve"> contemplated that the DTA’s taking transfer </w:t>
      </w:r>
      <w:r w:rsidR="00F96BDD" w:rsidRPr="00793DA3">
        <w:rPr>
          <w:rFonts w:ascii="Arial" w:hAnsi="Arial" w:cs="Arial"/>
          <w:sz w:val="24"/>
          <w:szCs w:val="24"/>
          <w:lang w:val="en-US"/>
        </w:rPr>
        <w:t xml:space="preserve">of the disputed land from RTC </w:t>
      </w:r>
      <w:r w:rsidR="00601794" w:rsidRPr="00793DA3">
        <w:rPr>
          <w:rFonts w:ascii="Arial" w:hAnsi="Arial" w:cs="Arial"/>
          <w:sz w:val="24"/>
          <w:szCs w:val="24"/>
          <w:lang w:val="en-US"/>
        </w:rPr>
        <w:t xml:space="preserve">was conditional upon it on-transferring </w:t>
      </w:r>
      <w:r w:rsidR="005F2481" w:rsidRPr="00793DA3">
        <w:rPr>
          <w:rFonts w:ascii="Arial" w:hAnsi="Arial" w:cs="Arial"/>
          <w:sz w:val="24"/>
          <w:szCs w:val="24"/>
          <w:lang w:val="en-US"/>
        </w:rPr>
        <w:t>it</w:t>
      </w:r>
      <w:r w:rsidR="00601794" w:rsidRPr="00793DA3">
        <w:rPr>
          <w:rFonts w:ascii="Arial" w:hAnsi="Arial" w:cs="Arial"/>
          <w:sz w:val="24"/>
          <w:szCs w:val="24"/>
          <w:lang w:val="en-US"/>
        </w:rPr>
        <w:t xml:space="preserve"> to River View.</w:t>
      </w:r>
    </w:p>
    <w:p w14:paraId="54DC2F26" w14:textId="77777777" w:rsidR="006E04AE" w:rsidRPr="00793DA3" w:rsidRDefault="006E04AE" w:rsidP="00F355DB">
      <w:pPr>
        <w:pStyle w:val="ListParagraph"/>
        <w:spacing w:line="480" w:lineRule="auto"/>
        <w:ind w:left="0"/>
        <w:contextualSpacing w:val="0"/>
        <w:jc w:val="both"/>
        <w:rPr>
          <w:rFonts w:ascii="Arial" w:hAnsi="Arial" w:cs="Arial"/>
          <w:lang w:val="en-US"/>
        </w:rPr>
      </w:pPr>
    </w:p>
    <w:p w14:paraId="1E099C06" w14:textId="2E8E0209" w:rsidR="006E04AE" w:rsidRPr="00793DA3" w:rsidRDefault="00DB0D99" w:rsidP="00793DA3">
      <w:pPr>
        <w:pStyle w:val="NoSpacing"/>
        <w:numPr>
          <w:ilvl w:val="0"/>
          <w:numId w:val="7"/>
        </w:numPr>
        <w:spacing w:line="480" w:lineRule="auto"/>
        <w:ind w:left="0" w:firstLine="0"/>
        <w:jc w:val="both"/>
        <w:rPr>
          <w:rFonts w:ascii="Arial" w:hAnsi="Arial" w:cs="Arial"/>
          <w:sz w:val="24"/>
          <w:szCs w:val="24"/>
          <w:lang w:val="en-US"/>
        </w:rPr>
      </w:pPr>
      <w:r>
        <w:rPr>
          <w:rFonts w:ascii="Arial" w:hAnsi="Arial" w:cs="Arial"/>
          <w:sz w:val="24"/>
          <w:szCs w:val="24"/>
          <w:lang w:val="en-US"/>
        </w:rPr>
        <w:t>Mr</w:t>
      </w:r>
      <w:r w:rsidR="006E04AE" w:rsidRPr="00793DA3">
        <w:rPr>
          <w:rFonts w:ascii="Arial" w:hAnsi="Arial" w:cs="Arial"/>
          <w:sz w:val="24"/>
          <w:szCs w:val="24"/>
          <w:lang w:val="en-US"/>
        </w:rPr>
        <w:t xml:space="preserve"> Heathcote </w:t>
      </w:r>
      <w:r w:rsidR="005F2481" w:rsidRPr="00793DA3">
        <w:rPr>
          <w:rFonts w:ascii="Arial" w:hAnsi="Arial" w:cs="Arial"/>
          <w:sz w:val="24"/>
          <w:szCs w:val="24"/>
          <w:lang w:val="en-US"/>
        </w:rPr>
        <w:t xml:space="preserve">for River View </w:t>
      </w:r>
      <w:r w:rsidR="006E04AE" w:rsidRPr="00793DA3">
        <w:rPr>
          <w:rFonts w:ascii="Arial" w:hAnsi="Arial" w:cs="Arial"/>
          <w:sz w:val="24"/>
          <w:szCs w:val="24"/>
          <w:lang w:val="en-US"/>
        </w:rPr>
        <w:t xml:space="preserve">argued that there is only one agreement </w:t>
      </w:r>
      <w:r w:rsidR="005F2481" w:rsidRPr="00793DA3">
        <w:rPr>
          <w:rFonts w:ascii="Arial" w:hAnsi="Arial" w:cs="Arial"/>
          <w:sz w:val="24"/>
          <w:szCs w:val="24"/>
          <w:lang w:val="en-US"/>
        </w:rPr>
        <w:t>(</w:t>
      </w:r>
      <w:r w:rsidR="00E77EA3">
        <w:rPr>
          <w:rFonts w:ascii="Arial" w:hAnsi="Arial" w:cs="Arial"/>
          <w:sz w:val="24"/>
          <w:szCs w:val="24"/>
          <w:lang w:val="en-US"/>
        </w:rPr>
        <w:t>not two</w:t>
      </w:r>
      <w:r w:rsidR="005F2481" w:rsidRPr="00793DA3">
        <w:rPr>
          <w:rFonts w:ascii="Arial" w:hAnsi="Arial" w:cs="Arial"/>
          <w:sz w:val="24"/>
          <w:szCs w:val="24"/>
          <w:lang w:val="en-US"/>
        </w:rPr>
        <w:t>)</w:t>
      </w:r>
      <w:r w:rsidR="006E04AE" w:rsidRPr="00793DA3">
        <w:rPr>
          <w:rFonts w:ascii="Arial" w:hAnsi="Arial" w:cs="Arial"/>
          <w:sz w:val="24"/>
          <w:szCs w:val="24"/>
          <w:lang w:val="en-US"/>
        </w:rPr>
        <w:t xml:space="preserve"> as the registration </w:t>
      </w:r>
      <w:r w:rsidR="005F2481" w:rsidRPr="00793DA3">
        <w:rPr>
          <w:rFonts w:ascii="Arial" w:hAnsi="Arial" w:cs="Arial"/>
          <w:sz w:val="24"/>
          <w:szCs w:val="24"/>
          <w:lang w:val="en-US"/>
        </w:rPr>
        <w:t xml:space="preserve">in DTA’s name and then in that of River View </w:t>
      </w:r>
      <w:r w:rsidR="006E04AE" w:rsidRPr="00793DA3">
        <w:rPr>
          <w:rFonts w:ascii="Arial" w:hAnsi="Arial" w:cs="Arial"/>
          <w:sz w:val="24"/>
          <w:szCs w:val="24"/>
          <w:lang w:val="en-US"/>
        </w:rPr>
        <w:t xml:space="preserve">at the deed’s </w:t>
      </w:r>
      <w:r w:rsidR="005F2481" w:rsidRPr="00793DA3">
        <w:rPr>
          <w:rFonts w:ascii="Arial" w:hAnsi="Arial" w:cs="Arial"/>
          <w:sz w:val="24"/>
          <w:szCs w:val="24"/>
          <w:lang w:val="en-US"/>
        </w:rPr>
        <w:t>registry</w:t>
      </w:r>
      <w:r w:rsidR="006E04AE" w:rsidRPr="00793DA3">
        <w:rPr>
          <w:rFonts w:ascii="Arial" w:hAnsi="Arial" w:cs="Arial"/>
          <w:sz w:val="24"/>
          <w:szCs w:val="24"/>
          <w:lang w:val="en-US"/>
        </w:rPr>
        <w:t xml:space="preserve"> </w:t>
      </w:r>
      <w:r w:rsidR="005F2481" w:rsidRPr="00793DA3">
        <w:rPr>
          <w:rFonts w:ascii="Arial" w:hAnsi="Arial" w:cs="Arial"/>
          <w:sz w:val="24"/>
          <w:szCs w:val="24"/>
          <w:lang w:val="en-US"/>
        </w:rPr>
        <w:lastRenderedPageBreak/>
        <w:t>could</w:t>
      </w:r>
      <w:r w:rsidR="006E04AE" w:rsidRPr="00793DA3">
        <w:rPr>
          <w:rFonts w:ascii="Arial" w:hAnsi="Arial" w:cs="Arial"/>
          <w:sz w:val="24"/>
          <w:szCs w:val="24"/>
          <w:lang w:val="en-US"/>
        </w:rPr>
        <w:t xml:space="preserve"> not have occurred without the other</w:t>
      </w:r>
      <w:r w:rsidR="005F2481" w:rsidRPr="00793DA3">
        <w:rPr>
          <w:rFonts w:ascii="Arial" w:hAnsi="Arial" w:cs="Arial"/>
          <w:sz w:val="24"/>
          <w:szCs w:val="24"/>
          <w:lang w:val="en-US"/>
        </w:rPr>
        <w:t>. In other words, it was a ‘</w:t>
      </w:r>
      <w:r w:rsidR="006E04AE" w:rsidRPr="00793DA3">
        <w:rPr>
          <w:rFonts w:ascii="Arial" w:hAnsi="Arial" w:cs="Arial"/>
          <w:sz w:val="24"/>
          <w:szCs w:val="24"/>
          <w:lang w:val="en-US"/>
        </w:rPr>
        <w:t>composite deal</w:t>
      </w:r>
      <w:r w:rsidR="005F2481" w:rsidRPr="00793DA3">
        <w:rPr>
          <w:rFonts w:ascii="Arial" w:hAnsi="Arial" w:cs="Arial"/>
          <w:sz w:val="24"/>
          <w:szCs w:val="24"/>
          <w:lang w:val="en-US"/>
        </w:rPr>
        <w:t>’ as counsel put it. Counsel</w:t>
      </w:r>
      <w:r w:rsidR="006E04AE" w:rsidRPr="00793DA3">
        <w:rPr>
          <w:rFonts w:ascii="Arial" w:hAnsi="Arial" w:cs="Arial"/>
          <w:sz w:val="24"/>
          <w:szCs w:val="24"/>
          <w:lang w:val="en-US"/>
        </w:rPr>
        <w:t xml:space="preserve"> further submitted that if it was not for the purpose of River View purchasing a</w:t>
      </w:r>
      <w:r w:rsidR="005F2481" w:rsidRPr="00793DA3">
        <w:rPr>
          <w:rFonts w:ascii="Arial" w:hAnsi="Arial" w:cs="Arial"/>
          <w:sz w:val="24"/>
          <w:szCs w:val="24"/>
          <w:lang w:val="en-US"/>
        </w:rPr>
        <w:t>nd paying for the disputed land there would have been no</w:t>
      </w:r>
      <w:r w:rsidR="006E04AE" w:rsidRPr="00793DA3">
        <w:rPr>
          <w:rFonts w:ascii="Arial" w:hAnsi="Arial" w:cs="Arial"/>
          <w:sz w:val="24"/>
          <w:szCs w:val="24"/>
          <w:lang w:val="en-US"/>
        </w:rPr>
        <w:t xml:space="preserve"> transfer </w:t>
      </w:r>
      <w:r w:rsidR="005F2481" w:rsidRPr="00793DA3">
        <w:rPr>
          <w:rFonts w:ascii="Arial" w:hAnsi="Arial" w:cs="Arial"/>
          <w:sz w:val="24"/>
          <w:szCs w:val="24"/>
          <w:lang w:val="en-US"/>
        </w:rPr>
        <w:t>to DTA from RTC.</w:t>
      </w:r>
      <w:r w:rsidR="006E04AE" w:rsidRPr="00793DA3">
        <w:rPr>
          <w:rFonts w:ascii="Arial" w:hAnsi="Arial" w:cs="Arial"/>
          <w:sz w:val="24"/>
          <w:szCs w:val="24"/>
          <w:lang w:val="en-US"/>
        </w:rPr>
        <w:t xml:space="preserve"> Therefore, the agreements are </w:t>
      </w:r>
      <w:r w:rsidR="00934C0B">
        <w:rPr>
          <w:rFonts w:ascii="Arial" w:hAnsi="Arial" w:cs="Arial"/>
          <w:sz w:val="24"/>
          <w:szCs w:val="24"/>
          <w:lang w:val="en-US"/>
        </w:rPr>
        <w:t xml:space="preserve">not separable and based on this, </w:t>
      </w:r>
      <w:r w:rsidR="006E04AE" w:rsidRPr="00793DA3">
        <w:rPr>
          <w:rFonts w:ascii="Arial" w:hAnsi="Arial" w:cs="Arial"/>
          <w:sz w:val="24"/>
          <w:szCs w:val="24"/>
          <w:lang w:val="en-US"/>
        </w:rPr>
        <w:t>DTA c</w:t>
      </w:r>
      <w:r w:rsidR="005F2481" w:rsidRPr="00793DA3">
        <w:rPr>
          <w:rFonts w:ascii="Arial" w:hAnsi="Arial" w:cs="Arial"/>
          <w:sz w:val="24"/>
          <w:szCs w:val="24"/>
          <w:lang w:val="en-US"/>
        </w:rPr>
        <w:t xml:space="preserve">ould not </w:t>
      </w:r>
      <w:r w:rsidR="006E04AE" w:rsidRPr="00793DA3">
        <w:rPr>
          <w:rFonts w:ascii="Arial" w:hAnsi="Arial" w:cs="Arial"/>
          <w:sz w:val="24"/>
          <w:szCs w:val="24"/>
          <w:lang w:val="en-US"/>
        </w:rPr>
        <w:t xml:space="preserve">ratify </w:t>
      </w:r>
      <w:r w:rsidR="005F2481" w:rsidRPr="00793DA3">
        <w:rPr>
          <w:rFonts w:ascii="Arial" w:hAnsi="Arial" w:cs="Arial"/>
          <w:sz w:val="24"/>
          <w:szCs w:val="24"/>
          <w:lang w:val="en-US"/>
        </w:rPr>
        <w:t xml:space="preserve">only the agreement giving it transfer. </w:t>
      </w:r>
    </w:p>
    <w:p w14:paraId="71B35623" w14:textId="77777777" w:rsidR="006E04AE" w:rsidRPr="00793DA3" w:rsidRDefault="006E04AE" w:rsidP="00F355DB">
      <w:pPr>
        <w:pStyle w:val="ListParagraph"/>
        <w:spacing w:line="480" w:lineRule="auto"/>
        <w:ind w:left="0"/>
        <w:jc w:val="both"/>
        <w:rPr>
          <w:rFonts w:ascii="Arial" w:hAnsi="Arial" w:cs="Arial"/>
          <w:lang w:val="en-US"/>
        </w:rPr>
      </w:pPr>
    </w:p>
    <w:p w14:paraId="07FC7341" w14:textId="7631CE00" w:rsidR="006E04AE" w:rsidRPr="00793DA3" w:rsidRDefault="00DB0D99" w:rsidP="00793DA3">
      <w:pPr>
        <w:pStyle w:val="NoSpacing"/>
        <w:numPr>
          <w:ilvl w:val="0"/>
          <w:numId w:val="7"/>
        </w:numPr>
        <w:spacing w:line="480" w:lineRule="auto"/>
        <w:ind w:left="0" w:firstLine="0"/>
        <w:jc w:val="both"/>
        <w:rPr>
          <w:rFonts w:ascii="Arial" w:hAnsi="Arial" w:cs="Arial"/>
          <w:sz w:val="24"/>
          <w:szCs w:val="24"/>
          <w:lang w:val="en-US"/>
        </w:rPr>
      </w:pPr>
      <w:r>
        <w:rPr>
          <w:rFonts w:ascii="Arial" w:hAnsi="Arial" w:cs="Arial"/>
          <w:sz w:val="24"/>
          <w:szCs w:val="24"/>
          <w:lang w:val="en-US"/>
        </w:rPr>
        <w:t>Mr</w:t>
      </w:r>
      <w:r w:rsidR="006E04AE" w:rsidRPr="00793DA3">
        <w:rPr>
          <w:rFonts w:ascii="Arial" w:hAnsi="Arial" w:cs="Arial"/>
          <w:sz w:val="24"/>
          <w:szCs w:val="24"/>
          <w:lang w:val="en-US"/>
        </w:rPr>
        <w:t xml:space="preserve"> </w:t>
      </w:r>
      <w:r w:rsidR="005D750E" w:rsidRPr="00793DA3">
        <w:rPr>
          <w:rFonts w:ascii="Arial" w:hAnsi="Arial" w:cs="Arial"/>
          <w:sz w:val="24"/>
          <w:szCs w:val="24"/>
          <w:lang w:val="en-US"/>
        </w:rPr>
        <w:t>Ravenscroft-Jones</w:t>
      </w:r>
      <w:r w:rsidR="006E04AE" w:rsidRPr="00793DA3">
        <w:rPr>
          <w:rFonts w:ascii="Arial" w:hAnsi="Arial" w:cs="Arial"/>
          <w:sz w:val="24"/>
          <w:szCs w:val="24"/>
          <w:lang w:val="en-US"/>
        </w:rPr>
        <w:t xml:space="preserve"> on behalf of DTA </w:t>
      </w:r>
      <w:r w:rsidR="005F2481" w:rsidRPr="00793DA3">
        <w:rPr>
          <w:rFonts w:ascii="Arial" w:hAnsi="Arial" w:cs="Arial"/>
          <w:sz w:val="24"/>
          <w:szCs w:val="24"/>
          <w:lang w:val="en-US"/>
        </w:rPr>
        <w:t xml:space="preserve">argued </w:t>
      </w:r>
      <w:r w:rsidR="006E04AE" w:rsidRPr="00793DA3">
        <w:rPr>
          <w:rFonts w:ascii="Arial" w:hAnsi="Arial" w:cs="Arial"/>
          <w:sz w:val="24"/>
          <w:szCs w:val="24"/>
          <w:lang w:val="en-US"/>
        </w:rPr>
        <w:t xml:space="preserve">that there were two different agreements that took place and </w:t>
      </w:r>
      <w:r w:rsidR="005F2481" w:rsidRPr="00793DA3">
        <w:rPr>
          <w:rFonts w:ascii="Arial" w:hAnsi="Arial" w:cs="Arial"/>
          <w:sz w:val="24"/>
          <w:szCs w:val="24"/>
          <w:lang w:val="en-US"/>
        </w:rPr>
        <w:t xml:space="preserve">not </w:t>
      </w:r>
      <w:r w:rsidR="006E04AE" w:rsidRPr="00793DA3">
        <w:rPr>
          <w:rFonts w:ascii="Arial" w:hAnsi="Arial" w:cs="Arial"/>
          <w:sz w:val="24"/>
          <w:szCs w:val="24"/>
          <w:lang w:val="en-US"/>
        </w:rPr>
        <w:t>on</w:t>
      </w:r>
      <w:r w:rsidR="00684406" w:rsidRPr="00793DA3">
        <w:rPr>
          <w:rFonts w:ascii="Arial" w:hAnsi="Arial" w:cs="Arial"/>
          <w:sz w:val="24"/>
          <w:szCs w:val="24"/>
          <w:lang w:val="en-US"/>
        </w:rPr>
        <w:t>e</w:t>
      </w:r>
      <w:r w:rsidR="006E04AE" w:rsidRPr="00793DA3">
        <w:rPr>
          <w:rFonts w:ascii="Arial" w:hAnsi="Arial" w:cs="Arial"/>
          <w:sz w:val="24"/>
          <w:szCs w:val="24"/>
          <w:lang w:val="en-US"/>
        </w:rPr>
        <w:t xml:space="preserve"> continuous agreement. </w:t>
      </w:r>
      <w:r w:rsidR="00684406" w:rsidRPr="00793DA3">
        <w:rPr>
          <w:rFonts w:ascii="Arial" w:hAnsi="Arial" w:cs="Arial"/>
          <w:sz w:val="24"/>
          <w:szCs w:val="24"/>
          <w:lang w:val="en-US"/>
        </w:rPr>
        <w:t xml:space="preserve">Counsel </w:t>
      </w:r>
      <w:r w:rsidR="005F2481" w:rsidRPr="00793DA3">
        <w:rPr>
          <w:rFonts w:ascii="Arial" w:hAnsi="Arial" w:cs="Arial"/>
          <w:sz w:val="24"/>
          <w:szCs w:val="24"/>
          <w:lang w:val="en-US"/>
        </w:rPr>
        <w:t>argued that there is therefore</w:t>
      </w:r>
      <w:r w:rsidR="006E04AE" w:rsidRPr="00793DA3">
        <w:rPr>
          <w:rFonts w:ascii="Arial" w:hAnsi="Arial" w:cs="Arial"/>
          <w:sz w:val="24"/>
          <w:szCs w:val="24"/>
          <w:lang w:val="en-US"/>
        </w:rPr>
        <w:t xml:space="preserve"> no re</w:t>
      </w:r>
      <w:r w:rsidR="00DA155A" w:rsidRPr="00793DA3">
        <w:rPr>
          <w:rFonts w:ascii="Arial" w:hAnsi="Arial" w:cs="Arial"/>
          <w:sz w:val="24"/>
          <w:szCs w:val="24"/>
          <w:lang w:val="en-US"/>
        </w:rPr>
        <w:t xml:space="preserve">ason why the first agreement could </w:t>
      </w:r>
      <w:r w:rsidR="006E04AE" w:rsidRPr="00793DA3">
        <w:rPr>
          <w:rFonts w:ascii="Arial" w:hAnsi="Arial" w:cs="Arial"/>
          <w:sz w:val="24"/>
          <w:szCs w:val="24"/>
          <w:lang w:val="en-US"/>
        </w:rPr>
        <w:t xml:space="preserve">not be ratified by DTA </w:t>
      </w:r>
      <w:r w:rsidR="005F2481" w:rsidRPr="00793DA3">
        <w:rPr>
          <w:rFonts w:ascii="Arial" w:hAnsi="Arial" w:cs="Arial"/>
          <w:sz w:val="24"/>
          <w:szCs w:val="24"/>
          <w:lang w:val="en-US"/>
        </w:rPr>
        <w:t>because</w:t>
      </w:r>
      <w:r w:rsidR="006E04AE" w:rsidRPr="00793DA3">
        <w:rPr>
          <w:rFonts w:ascii="Arial" w:hAnsi="Arial" w:cs="Arial"/>
          <w:sz w:val="24"/>
          <w:szCs w:val="24"/>
          <w:lang w:val="en-US"/>
        </w:rPr>
        <w:t xml:space="preserve"> although </w:t>
      </w:r>
      <w:r w:rsidR="00B97A93">
        <w:rPr>
          <w:rFonts w:ascii="Arial" w:hAnsi="Arial" w:cs="Arial"/>
          <w:sz w:val="24"/>
          <w:szCs w:val="24"/>
          <w:lang w:val="en-US"/>
        </w:rPr>
        <w:t xml:space="preserve">Mr </w:t>
      </w:r>
      <w:r w:rsidR="0054754B" w:rsidRPr="00793DA3">
        <w:rPr>
          <w:rFonts w:ascii="Arial" w:hAnsi="Arial" w:cs="Arial"/>
          <w:sz w:val="24"/>
          <w:szCs w:val="24"/>
          <w:lang w:val="en-US"/>
        </w:rPr>
        <w:t>Kashera</w:t>
      </w:r>
      <w:r w:rsidR="006E04AE" w:rsidRPr="00793DA3">
        <w:rPr>
          <w:rFonts w:ascii="Arial" w:hAnsi="Arial" w:cs="Arial"/>
          <w:sz w:val="24"/>
          <w:szCs w:val="24"/>
          <w:lang w:val="en-US"/>
        </w:rPr>
        <w:t xml:space="preserve"> did not have authority to represent DTA, </w:t>
      </w:r>
      <w:r w:rsidR="005F2481" w:rsidRPr="00793DA3">
        <w:rPr>
          <w:rFonts w:ascii="Arial" w:hAnsi="Arial" w:cs="Arial"/>
          <w:sz w:val="24"/>
          <w:szCs w:val="24"/>
          <w:lang w:val="en-US"/>
        </w:rPr>
        <w:t>in relation to the transfer from RTC</w:t>
      </w:r>
      <w:r w:rsidR="00E173F2">
        <w:rPr>
          <w:rFonts w:ascii="Arial" w:hAnsi="Arial" w:cs="Arial"/>
          <w:sz w:val="24"/>
          <w:szCs w:val="24"/>
          <w:lang w:val="en-US"/>
        </w:rPr>
        <w:t>,</w:t>
      </w:r>
      <w:r w:rsidR="005F2481" w:rsidRPr="00793DA3">
        <w:rPr>
          <w:rFonts w:ascii="Arial" w:hAnsi="Arial" w:cs="Arial"/>
          <w:sz w:val="24"/>
          <w:szCs w:val="24"/>
          <w:lang w:val="en-US"/>
        </w:rPr>
        <w:t xml:space="preserve"> </w:t>
      </w:r>
      <w:r w:rsidR="006E04AE" w:rsidRPr="00793DA3">
        <w:rPr>
          <w:rFonts w:ascii="Arial" w:hAnsi="Arial" w:cs="Arial"/>
          <w:sz w:val="24"/>
          <w:szCs w:val="24"/>
          <w:lang w:val="en-US"/>
        </w:rPr>
        <w:t xml:space="preserve">he acted in the best interest of </w:t>
      </w:r>
      <w:r w:rsidR="005F2481" w:rsidRPr="00793DA3">
        <w:rPr>
          <w:rFonts w:ascii="Arial" w:hAnsi="Arial" w:cs="Arial"/>
          <w:sz w:val="24"/>
          <w:szCs w:val="24"/>
          <w:lang w:val="en-US"/>
        </w:rPr>
        <w:t xml:space="preserve">the </w:t>
      </w:r>
      <w:r w:rsidR="006E04AE" w:rsidRPr="00793DA3">
        <w:rPr>
          <w:rFonts w:ascii="Arial" w:hAnsi="Arial" w:cs="Arial"/>
          <w:sz w:val="24"/>
          <w:szCs w:val="24"/>
          <w:lang w:val="en-US"/>
        </w:rPr>
        <w:t>DTA.</w:t>
      </w:r>
    </w:p>
    <w:p w14:paraId="7646A7C1" w14:textId="77777777" w:rsidR="00684406" w:rsidRPr="00793DA3" w:rsidRDefault="00684406" w:rsidP="00F355DB">
      <w:pPr>
        <w:pStyle w:val="ListParagraph"/>
        <w:spacing w:line="480" w:lineRule="auto"/>
        <w:ind w:left="0"/>
        <w:contextualSpacing w:val="0"/>
        <w:jc w:val="both"/>
        <w:rPr>
          <w:rFonts w:ascii="Arial" w:hAnsi="Arial" w:cs="Arial"/>
          <w:lang w:val="en-US"/>
        </w:rPr>
      </w:pPr>
    </w:p>
    <w:p w14:paraId="417F3054" w14:textId="1E9EF782" w:rsidR="004943D8" w:rsidRPr="00793DA3" w:rsidRDefault="00E77EA3" w:rsidP="00793DA3">
      <w:pPr>
        <w:pStyle w:val="NoSpacing"/>
        <w:numPr>
          <w:ilvl w:val="0"/>
          <w:numId w:val="7"/>
        </w:numPr>
        <w:spacing w:line="480" w:lineRule="auto"/>
        <w:ind w:left="0" w:firstLine="0"/>
        <w:jc w:val="both"/>
        <w:rPr>
          <w:rFonts w:ascii="Arial" w:hAnsi="Arial" w:cs="Arial"/>
          <w:sz w:val="24"/>
          <w:szCs w:val="24"/>
          <w:lang w:val="en-US"/>
        </w:rPr>
      </w:pPr>
      <w:r>
        <w:rPr>
          <w:rFonts w:ascii="Arial" w:hAnsi="Arial" w:cs="Arial"/>
          <w:sz w:val="24"/>
          <w:szCs w:val="24"/>
          <w:lang w:val="en-US"/>
        </w:rPr>
        <w:t>The argument</w:t>
      </w:r>
      <w:r w:rsidR="00684406" w:rsidRPr="00793DA3">
        <w:rPr>
          <w:rFonts w:ascii="Arial" w:hAnsi="Arial" w:cs="Arial"/>
          <w:sz w:val="24"/>
          <w:szCs w:val="24"/>
          <w:lang w:val="en-US"/>
        </w:rPr>
        <w:t xml:space="preserve"> that the two agreements were considered as one and therefore indivisible implies that the DTA did not have the right to ratify the unauthorised purchase of the disputed land from RTC. The DTA</w:t>
      </w:r>
      <w:r w:rsidR="007F0043" w:rsidRPr="00793DA3">
        <w:rPr>
          <w:rFonts w:ascii="Arial" w:hAnsi="Arial" w:cs="Arial"/>
          <w:sz w:val="24"/>
          <w:szCs w:val="24"/>
          <w:lang w:val="en-US"/>
        </w:rPr>
        <w:t xml:space="preserve">’s president had under oath confirmed that his party </w:t>
      </w:r>
      <w:r w:rsidR="00684406" w:rsidRPr="00793DA3">
        <w:rPr>
          <w:rFonts w:ascii="Arial" w:hAnsi="Arial" w:cs="Arial"/>
          <w:sz w:val="24"/>
          <w:szCs w:val="24"/>
          <w:lang w:val="en-US"/>
        </w:rPr>
        <w:t xml:space="preserve">ratified the agreement because it was to its benefit. </w:t>
      </w:r>
      <w:r w:rsidR="00367DC6" w:rsidRPr="00793DA3">
        <w:rPr>
          <w:rFonts w:ascii="Arial" w:hAnsi="Arial" w:cs="Arial"/>
          <w:sz w:val="24"/>
          <w:szCs w:val="24"/>
          <w:lang w:val="en-US"/>
        </w:rPr>
        <w:t xml:space="preserve">I cannot see why on legal </w:t>
      </w:r>
      <w:r w:rsidR="004943D8" w:rsidRPr="00793DA3">
        <w:rPr>
          <w:rFonts w:ascii="Arial" w:hAnsi="Arial" w:cs="Arial"/>
          <w:sz w:val="24"/>
          <w:szCs w:val="24"/>
          <w:lang w:val="en-US"/>
        </w:rPr>
        <w:t xml:space="preserve">principle </w:t>
      </w:r>
      <w:r w:rsidR="00367DC6" w:rsidRPr="00793DA3">
        <w:rPr>
          <w:rFonts w:ascii="Arial" w:hAnsi="Arial" w:cs="Arial"/>
          <w:sz w:val="24"/>
          <w:szCs w:val="24"/>
          <w:lang w:val="en-US"/>
        </w:rPr>
        <w:t xml:space="preserve">it could not ratify the purchase in its name concluded by </w:t>
      </w:r>
      <w:r w:rsidR="00934C0B">
        <w:rPr>
          <w:rFonts w:ascii="Arial" w:hAnsi="Arial" w:cs="Arial"/>
          <w:sz w:val="24"/>
          <w:szCs w:val="24"/>
          <w:lang w:val="en-US"/>
        </w:rPr>
        <w:br/>
      </w:r>
      <w:r w:rsidR="004943D8" w:rsidRPr="00793DA3">
        <w:rPr>
          <w:rFonts w:ascii="Arial" w:hAnsi="Arial" w:cs="Arial"/>
          <w:sz w:val="24"/>
          <w:szCs w:val="24"/>
          <w:lang w:val="en-US"/>
        </w:rPr>
        <w:t xml:space="preserve">Mr </w:t>
      </w:r>
      <w:r w:rsidR="0054754B" w:rsidRPr="00793DA3">
        <w:rPr>
          <w:rFonts w:ascii="Arial" w:hAnsi="Arial" w:cs="Arial"/>
          <w:sz w:val="24"/>
          <w:szCs w:val="24"/>
          <w:lang w:val="en-US"/>
        </w:rPr>
        <w:t>Kashera</w:t>
      </w:r>
      <w:r w:rsidR="00367DC6" w:rsidRPr="00793DA3">
        <w:rPr>
          <w:rFonts w:ascii="Arial" w:hAnsi="Arial" w:cs="Arial"/>
          <w:sz w:val="24"/>
          <w:szCs w:val="24"/>
          <w:lang w:val="en-US"/>
        </w:rPr>
        <w:t>. More so</w:t>
      </w:r>
      <w:r w:rsidR="00934C0B">
        <w:rPr>
          <w:rFonts w:ascii="Arial" w:hAnsi="Arial" w:cs="Arial"/>
          <w:sz w:val="24"/>
          <w:szCs w:val="24"/>
          <w:lang w:val="en-US"/>
        </w:rPr>
        <w:t>,</w:t>
      </w:r>
      <w:r w:rsidR="00367DC6" w:rsidRPr="00793DA3">
        <w:rPr>
          <w:rFonts w:ascii="Arial" w:hAnsi="Arial" w:cs="Arial"/>
          <w:sz w:val="24"/>
          <w:szCs w:val="24"/>
          <w:lang w:val="en-US"/>
        </w:rPr>
        <w:t xml:space="preserve"> because it</w:t>
      </w:r>
      <w:r w:rsidR="00684406" w:rsidRPr="00793DA3">
        <w:rPr>
          <w:rFonts w:ascii="Arial" w:hAnsi="Arial" w:cs="Arial"/>
          <w:sz w:val="24"/>
          <w:szCs w:val="24"/>
          <w:lang w:val="en-US"/>
        </w:rPr>
        <w:t xml:space="preserve"> had been in uninterrupted lawful occupation of the disputed land under a permission to occupy </w:t>
      </w:r>
      <w:r w:rsidR="007F0043" w:rsidRPr="00793DA3">
        <w:rPr>
          <w:rFonts w:ascii="Arial" w:hAnsi="Arial" w:cs="Arial"/>
          <w:sz w:val="24"/>
          <w:szCs w:val="24"/>
          <w:lang w:val="en-US"/>
        </w:rPr>
        <w:t xml:space="preserve">since 1988 </w:t>
      </w:r>
      <w:r w:rsidR="00684406" w:rsidRPr="00793DA3">
        <w:rPr>
          <w:rFonts w:ascii="Arial" w:hAnsi="Arial" w:cs="Arial"/>
          <w:sz w:val="24"/>
          <w:szCs w:val="24"/>
          <w:lang w:val="en-US"/>
        </w:rPr>
        <w:t xml:space="preserve">and there is no suggestion by River View either in its </w:t>
      </w:r>
      <w:r w:rsidR="00367DC6" w:rsidRPr="00793DA3">
        <w:rPr>
          <w:rFonts w:ascii="Arial" w:hAnsi="Arial" w:cs="Arial"/>
          <w:sz w:val="24"/>
          <w:szCs w:val="24"/>
          <w:lang w:val="en-US"/>
        </w:rPr>
        <w:t>plead</w:t>
      </w:r>
      <w:r w:rsidR="00684406" w:rsidRPr="00793DA3">
        <w:rPr>
          <w:rFonts w:ascii="Arial" w:hAnsi="Arial" w:cs="Arial"/>
          <w:sz w:val="24"/>
          <w:szCs w:val="24"/>
          <w:lang w:val="en-US"/>
        </w:rPr>
        <w:t xml:space="preserve">ed case or in evidence that </w:t>
      </w:r>
      <w:r w:rsidR="004943D8" w:rsidRPr="00793DA3">
        <w:rPr>
          <w:rFonts w:ascii="Arial" w:hAnsi="Arial" w:cs="Arial"/>
          <w:sz w:val="24"/>
          <w:szCs w:val="24"/>
          <w:lang w:val="en-US"/>
        </w:rPr>
        <w:t>the DTA</w:t>
      </w:r>
      <w:r w:rsidR="000C39E5" w:rsidRPr="00793DA3">
        <w:rPr>
          <w:rFonts w:ascii="Arial" w:hAnsi="Arial" w:cs="Arial"/>
          <w:sz w:val="24"/>
          <w:szCs w:val="24"/>
          <w:lang w:val="en-US"/>
        </w:rPr>
        <w:t xml:space="preserve"> intended to forego its lease of</w:t>
      </w:r>
      <w:r w:rsidR="00684406" w:rsidRPr="00793DA3">
        <w:rPr>
          <w:rFonts w:ascii="Arial" w:hAnsi="Arial" w:cs="Arial"/>
          <w:sz w:val="24"/>
          <w:szCs w:val="24"/>
          <w:lang w:val="en-US"/>
        </w:rPr>
        <w:t xml:space="preserve"> the disputed land. </w:t>
      </w:r>
      <w:r w:rsidR="00D71CA8">
        <w:rPr>
          <w:rFonts w:ascii="Arial" w:hAnsi="Arial" w:cs="Arial"/>
          <w:sz w:val="24"/>
          <w:szCs w:val="24"/>
          <w:lang w:val="en-US"/>
        </w:rPr>
        <w:t>After all, ratification is a unilateral act which may be express or by conduct.</w:t>
      </w:r>
      <w:r w:rsidR="00D71CA8">
        <w:rPr>
          <w:rStyle w:val="FootnoteReference"/>
          <w:rFonts w:ascii="Arial" w:hAnsi="Arial" w:cs="Arial"/>
          <w:sz w:val="24"/>
          <w:szCs w:val="24"/>
          <w:lang w:val="en-US"/>
        </w:rPr>
        <w:footnoteReference w:id="28"/>
      </w:r>
    </w:p>
    <w:p w14:paraId="18ECC078" w14:textId="77777777" w:rsidR="00B8113E" w:rsidRDefault="00B8113E" w:rsidP="00F355DB">
      <w:pPr>
        <w:pStyle w:val="ListParagraph"/>
        <w:spacing w:line="480" w:lineRule="auto"/>
        <w:ind w:left="0"/>
        <w:contextualSpacing w:val="0"/>
        <w:jc w:val="both"/>
        <w:rPr>
          <w:rFonts w:ascii="Arial" w:hAnsi="Arial" w:cs="Arial"/>
          <w:lang w:val="en-US"/>
        </w:rPr>
      </w:pPr>
    </w:p>
    <w:p w14:paraId="1D714354" w14:textId="72EE2BF9" w:rsidR="00B8113E" w:rsidRPr="00F52FDE" w:rsidRDefault="00B8113E" w:rsidP="00B8113E">
      <w:pPr>
        <w:pStyle w:val="ListParagraph"/>
        <w:spacing w:line="480" w:lineRule="auto"/>
        <w:ind w:left="0"/>
        <w:contextualSpacing w:val="0"/>
        <w:jc w:val="both"/>
        <w:rPr>
          <w:rFonts w:ascii="Arial" w:hAnsi="Arial" w:cs="Arial"/>
          <w:i/>
          <w:iCs/>
          <w:lang w:val="en-US"/>
        </w:rPr>
      </w:pPr>
      <w:r w:rsidRPr="00ED541E">
        <w:rPr>
          <w:rFonts w:ascii="Arial" w:hAnsi="Arial" w:cs="Arial"/>
          <w:i/>
          <w:iCs/>
          <w:lang w:val="en-US"/>
        </w:rPr>
        <w:t xml:space="preserve">Restitution </w:t>
      </w:r>
    </w:p>
    <w:p w14:paraId="1D30BEF7" w14:textId="5F410A80" w:rsidR="00B8113E" w:rsidRPr="00793DA3" w:rsidRDefault="00B8113E" w:rsidP="00793DA3">
      <w:pPr>
        <w:pStyle w:val="NoSpacing"/>
        <w:numPr>
          <w:ilvl w:val="0"/>
          <w:numId w:val="7"/>
        </w:numPr>
        <w:spacing w:line="480" w:lineRule="auto"/>
        <w:ind w:left="0" w:firstLine="0"/>
        <w:jc w:val="both"/>
        <w:rPr>
          <w:rFonts w:ascii="Arial" w:hAnsi="Arial" w:cs="Arial"/>
          <w:sz w:val="24"/>
          <w:szCs w:val="24"/>
          <w:lang w:val="en-US"/>
        </w:rPr>
      </w:pPr>
      <w:r w:rsidRPr="00793DA3">
        <w:rPr>
          <w:rFonts w:ascii="Arial" w:hAnsi="Arial" w:cs="Arial"/>
          <w:sz w:val="24"/>
          <w:szCs w:val="24"/>
          <w:lang w:val="en-US"/>
        </w:rPr>
        <w:t xml:space="preserve">Mr Heathcote argued that River View </w:t>
      </w:r>
      <w:r w:rsidR="007F0043" w:rsidRPr="00793DA3">
        <w:rPr>
          <w:rFonts w:ascii="Arial" w:hAnsi="Arial" w:cs="Arial"/>
          <w:sz w:val="24"/>
          <w:szCs w:val="24"/>
          <w:lang w:val="en-US"/>
        </w:rPr>
        <w:t>bore the entire financial obligat</w:t>
      </w:r>
      <w:r w:rsidR="00E77EA3">
        <w:rPr>
          <w:rFonts w:ascii="Arial" w:hAnsi="Arial" w:cs="Arial"/>
          <w:sz w:val="24"/>
          <w:szCs w:val="24"/>
          <w:lang w:val="en-US"/>
        </w:rPr>
        <w:t>ion for the two-way transaction</w:t>
      </w:r>
      <w:r w:rsidR="007F0043" w:rsidRPr="00793DA3">
        <w:rPr>
          <w:rFonts w:ascii="Arial" w:hAnsi="Arial" w:cs="Arial"/>
          <w:sz w:val="24"/>
          <w:szCs w:val="24"/>
          <w:lang w:val="en-US"/>
        </w:rPr>
        <w:t xml:space="preserve"> </w:t>
      </w:r>
      <w:r w:rsidRPr="00793DA3">
        <w:rPr>
          <w:rFonts w:ascii="Arial" w:hAnsi="Arial" w:cs="Arial"/>
          <w:sz w:val="24"/>
          <w:szCs w:val="24"/>
          <w:lang w:val="en-US"/>
        </w:rPr>
        <w:t xml:space="preserve">and that DTA </w:t>
      </w:r>
      <w:r w:rsidR="00E77EA3">
        <w:rPr>
          <w:rFonts w:ascii="Arial" w:hAnsi="Arial" w:cs="Arial"/>
          <w:sz w:val="24"/>
          <w:szCs w:val="24"/>
          <w:lang w:val="en-US"/>
        </w:rPr>
        <w:t>was unable to</w:t>
      </w:r>
      <w:r w:rsidRPr="00793DA3">
        <w:rPr>
          <w:rFonts w:ascii="Arial" w:hAnsi="Arial" w:cs="Arial"/>
          <w:sz w:val="24"/>
          <w:szCs w:val="24"/>
          <w:lang w:val="en-US"/>
        </w:rPr>
        <w:t xml:space="preserve"> pay any of the costs, not even the municipality bills. With regards to restitution, River View’s counsel submitted that if a contract is voidable, the aggrieved party can either enforce or avoid the contract by cancelling it. It was submitted that the DTA had not sought to avoid the contract and by so doing cancelling it. Counsel added that the DTA was therefore not entitled to reclaim the property by seeking an order for it to be registered in its name. In the event that the DTA cancelled the contract, counsel submitted, it would have had to tender restitution of the purchase price for justice requires that parties to a contract retrospectively declared null and void </w:t>
      </w:r>
      <w:r w:rsidRPr="00793DA3">
        <w:rPr>
          <w:rFonts w:ascii="Arial" w:hAnsi="Arial" w:cs="Arial"/>
          <w:i/>
          <w:sz w:val="24"/>
          <w:szCs w:val="24"/>
          <w:lang w:val="en-US"/>
        </w:rPr>
        <w:t>ab initio</w:t>
      </w:r>
      <w:r w:rsidRPr="00793DA3">
        <w:rPr>
          <w:rFonts w:ascii="Arial" w:hAnsi="Arial" w:cs="Arial"/>
          <w:sz w:val="24"/>
          <w:szCs w:val="24"/>
          <w:lang w:val="en-US"/>
        </w:rPr>
        <w:t xml:space="preserve"> be put in the position in which they would have been had the contract not been concluded.</w:t>
      </w:r>
      <w:r w:rsidRPr="00793DA3">
        <w:rPr>
          <w:rStyle w:val="FootnoteReference"/>
          <w:rFonts w:ascii="Arial" w:hAnsi="Arial" w:cs="Arial"/>
          <w:sz w:val="24"/>
          <w:szCs w:val="24"/>
          <w:lang w:val="en-US"/>
        </w:rPr>
        <w:footnoteReference w:id="29"/>
      </w:r>
    </w:p>
    <w:p w14:paraId="721ACE36" w14:textId="77777777" w:rsidR="00B8113E" w:rsidRPr="00ED541E" w:rsidRDefault="00B8113E" w:rsidP="00B8113E">
      <w:pPr>
        <w:pStyle w:val="ListParagraph"/>
        <w:spacing w:line="480" w:lineRule="auto"/>
        <w:ind w:left="0"/>
        <w:contextualSpacing w:val="0"/>
        <w:jc w:val="both"/>
        <w:rPr>
          <w:rFonts w:ascii="Arial" w:hAnsi="Arial" w:cs="Arial"/>
          <w:lang w:val="en-US"/>
        </w:rPr>
      </w:pPr>
    </w:p>
    <w:p w14:paraId="0965EE93" w14:textId="73A2F325" w:rsidR="00B8113E" w:rsidRPr="00793DA3" w:rsidRDefault="00B8113E" w:rsidP="00793DA3">
      <w:pPr>
        <w:pStyle w:val="NoSpacing"/>
        <w:numPr>
          <w:ilvl w:val="0"/>
          <w:numId w:val="7"/>
        </w:numPr>
        <w:spacing w:line="480" w:lineRule="auto"/>
        <w:ind w:left="0" w:firstLine="0"/>
        <w:jc w:val="both"/>
        <w:rPr>
          <w:rFonts w:ascii="Arial" w:hAnsi="Arial" w:cs="Arial"/>
          <w:sz w:val="24"/>
          <w:szCs w:val="24"/>
          <w:lang w:val="en-US"/>
        </w:rPr>
      </w:pPr>
      <w:r w:rsidRPr="00793DA3">
        <w:rPr>
          <w:rFonts w:ascii="Arial" w:hAnsi="Arial" w:cs="Arial"/>
          <w:sz w:val="24"/>
          <w:szCs w:val="24"/>
          <w:lang w:val="en-US"/>
        </w:rPr>
        <w:t>Mr Ravenscroft</w:t>
      </w:r>
      <w:r w:rsidR="00EE1545">
        <w:rPr>
          <w:rFonts w:ascii="Arial" w:hAnsi="Arial" w:cs="Arial"/>
          <w:sz w:val="24"/>
          <w:szCs w:val="24"/>
          <w:lang w:val="en-US"/>
        </w:rPr>
        <w:t>-Jones</w:t>
      </w:r>
      <w:r w:rsidRPr="00793DA3">
        <w:rPr>
          <w:rFonts w:ascii="Arial" w:hAnsi="Arial" w:cs="Arial"/>
          <w:sz w:val="24"/>
          <w:szCs w:val="24"/>
          <w:lang w:val="en-US"/>
        </w:rPr>
        <w:t xml:space="preserve"> countered th</w:t>
      </w:r>
      <w:r w:rsidR="002840D6">
        <w:rPr>
          <w:rFonts w:ascii="Arial" w:hAnsi="Arial" w:cs="Arial"/>
          <w:sz w:val="24"/>
          <w:szCs w:val="24"/>
          <w:lang w:val="en-US"/>
        </w:rPr>
        <w:t>at Mr Kashera was never authoris</w:t>
      </w:r>
      <w:r w:rsidRPr="00793DA3">
        <w:rPr>
          <w:rFonts w:ascii="Arial" w:hAnsi="Arial" w:cs="Arial"/>
          <w:sz w:val="24"/>
          <w:szCs w:val="24"/>
          <w:lang w:val="en-US"/>
        </w:rPr>
        <w:t>ed to act on behalf of the DTA and perpetrated fraud against the party and that it is he who is liable to River View for restitution.</w:t>
      </w:r>
    </w:p>
    <w:p w14:paraId="5EAC2490" w14:textId="77777777" w:rsidR="004943D8" w:rsidRPr="00793DA3" w:rsidRDefault="004943D8" w:rsidP="00F355DB">
      <w:pPr>
        <w:pStyle w:val="ListParagraph"/>
        <w:spacing w:line="480" w:lineRule="auto"/>
        <w:ind w:left="0"/>
        <w:contextualSpacing w:val="0"/>
        <w:jc w:val="both"/>
        <w:rPr>
          <w:rFonts w:ascii="Arial" w:hAnsi="Arial" w:cs="Arial"/>
          <w:lang w:val="en-US"/>
        </w:rPr>
      </w:pPr>
    </w:p>
    <w:p w14:paraId="0F9E9B4A" w14:textId="68AB44FA" w:rsidR="00684406" w:rsidRPr="00793DA3" w:rsidRDefault="00684406" w:rsidP="00793DA3">
      <w:pPr>
        <w:pStyle w:val="NoSpacing"/>
        <w:numPr>
          <w:ilvl w:val="0"/>
          <w:numId w:val="7"/>
        </w:numPr>
        <w:spacing w:line="480" w:lineRule="auto"/>
        <w:ind w:left="0" w:firstLine="0"/>
        <w:jc w:val="both"/>
        <w:rPr>
          <w:rFonts w:ascii="Arial" w:hAnsi="Arial" w:cs="Arial"/>
          <w:sz w:val="24"/>
          <w:szCs w:val="24"/>
          <w:lang w:val="en-US"/>
        </w:rPr>
      </w:pPr>
      <w:r w:rsidRPr="00793DA3">
        <w:rPr>
          <w:rFonts w:ascii="Arial" w:hAnsi="Arial" w:cs="Arial"/>
          <w:sz w:val="24"/>
          <w:szCs w:val="24"/>
          <w:lang w:val="en-US"/>
        </w:rPr>
        <w:t xml:space="preserve">To uphold River View’s contention that </w:t>
      </w:r>
      <w:r w:rsidR="004943D8" w:rsidRPr="00793DA3">
        <w:rPr>
          <w:rFonts w:ascii="Arial" w:hAnsi="Arial" w:cs="Arial"/>
          <w:sz w:val="24"/>
          <w:szCs w:val="24"/>
          <w:lang w:val="en-US"/>
        </w:rPr>
        <w:t>the DTA</w:t>
      </w:r>
      <w:r w:rsidR="000C39E5" w:rsidRPr="00793DA3">
        <w:rPr>
          <w:rFonts w:ascii="Arial" w:hAnsi="Arial" w:cs="Arial"/>
          <w:sz w:val="24"/>
          <w:szCs w:val="24"/>
          <w:lang w:val="en-US"/>
        </w:rPr>
        <w:t xml:space="preserve"> </w:t>
      </w:r>
      <w:r w:rsidR="00E77EA3">
        <w:rPr>
          <w:rFonts w:ascii="Arial" w:hAnsi="Arial" w:cs="Arial"/>
          <w:sz w:val="24"/>
          <w:szCs w:val="24"/>
          <w:lang w:val="en-US"/>
        </w:rPr>
        <w:t xml:space="preserve">should </w:t>
      </w:r>
      <w:r w:rsidR="003F2C62" w:rsidRPr="00793DA3">
        <w:rPr>
          <w:rFonts w:ascii="Arial" w:hAnsi="Arial" w:cs="Arial"/>
          <w:sz w:val="24"/>
          <w:szCs w:val="24"/>
          <w:lang w:val="en-US"/>
        </w:rPr>
        <w:t xml:space="preserve">forfeit </w:t>
      </w:r>
      <w:r w:rsidR="000C39E5" w:rsidRPr="00793DA3">
        <w:rPr>
          <w:rFonts w:ascii="Arial" w:hAnsi="Arial" w:cs="Arial"/>
          <w:sz w:val="24"/>
          <w:szCs w:val="24"/>
          <w:lang w:val="en-US"/>
        </w:rPr>
        <w:t>the disputed land</w:t>
      </w:r>
      <w:r w:rsidRPr="00793DA3">
        <w:rPr>
          <w:rFonts w:ascii="Arial" w:hAnsi="Arial" w:cs="Arial"/>
          <w:sz w:val="24"/>
          <w:szCs w:val="24"/>
          <w:lang w:val="en-US"/>
        </w:rPr>
        <w:t xml:space="preserve"> as a result of the two agreements being fact</w:t>
      </w:r>
      <w:r w:rsidR="000C39E5" w:rsidRPr="00793DA3">
        <w:rPr>
          <w:rFonts w:ascii="Arial" w:hAnsi="Arial" w:cs="Arial"/>
          <w:sz w:val="24"/>
          <w:szCs w:val="24"/>
          <w:lang w:val="en-US"/>
        </w:rPr>
        <w:t>ually connected because of</w:t>
      </w:r>
      <w:r w:rsidRPr="00793DA3">
        <w:rPr>
          <w:rFonts w:ascii="Arial" w:hAnsi="Arial" w:cs="Arial"/>
          <w:sz w:val="24"/>
          <w:szCs w:val="24"/>
          <w:lang w:val="en-US"/>
        </w:rPr>
        <w:t xml:space="preserve"> </w:t>
      </w:r>
      <w:r w:rsidR="004943D8" w:rsidRPr="00793DA3">
        <w:rPr>
          <w:rFonts w:ascii="Arial" w:hAnsi="Arial" w:cs="Arial"/>
          <w:sz w:val="24"/>
          <w:szCs w:val="24"/>
          <w:lang w:val="en-US"/>
        </w:rPr>
        <w:t>River View’s</w:t>
      </w:r>
      <w:r w:rsidRPr="00793DA3">
        <w:rPr>
          <w:rFonts w:ascii="Arial" w:hAnsi="Arial" w:cs="Arial"/>
          <w:sz w:val="24"/>
          <w:szCs w:val="24"/>
          <w:lang w:val="en-US"/>
        </w:rPr>
        <w:t xml:space="preserve"> payment of the costs associated with the transfer to the DTA would</w:t>
      </w:r>
      <w:r w:rsidR="004943D8" w:rsidRPr="00793DA3">
        <w:rPr>
          <w:rFonts w:ascii="Arial" w:hAnsi="Arial" w:cs="Arial"/>
          <w:sz w:val="24"/>
          <w:szCs w:val="24"/>
          <w:lang w:val="en-US"/>
        </w:rPr>
        <w:t>,</w:t>
      </w:r>
      <w:r w:rsidRPr="00793DA3">
        <w:rPr>
          <w:rFonts w:ascii="Arial" w:hAnsi="Arial" w:cs="Arial"/>
          <w:sz w:val="24"/>
          <w:szCs w:val="24"/>
          <w:lang w:val="en-US"/>
        </w:rPr>
        <w:t xml:space="preserve"> in effect</w:t>
      </w:r>
      <w:r w:rsidR="004943D8" w:rsidRPr="00793DA3">
        <w:rPr>
          <w:rFonts w:ascii="Arial" w:hAnsi="Arial" w:cs="Arial"/>
          <w:sz w:val="24"/>
          <w:szCs w:val="24"/>
          <w:lang w:val="en-US"/>
        </w:rPr>
        <w:t>,</w:t>
      </w:r>
      <w:r w:rsidRPr="00793DA3">
        <w:rPr>
          <w:rFonts w:ascii="Arial" w:hAnsi="Arial" w:cs="Arial"/>
          <w:sz w:val="24"/>
          <w:szCs w:val="24"/>
          <w:lang w:val="en-US"/>
        </w:rPr>
        <w:t xml:space="preserve"> deny it all rights </w:t>
      </w:r>
      <w:r w:rsidR="004943D8" w:rsidRPr="00793DA3">
        <w:rPr>
          <w:rFonts w:ascii="Arial" w:hAnsi="Arial" w:cs="Arial"/>
          <w:sz w:val="24"/>
          <w:szCs w:val="24"/>
          <w:lang w:val="en-US"/>
        </w:rPr>
        <w:t>arising</w:t>
      </w:r>
      <w:r w:rsidRPr="00793DA3">
        <w:rPr>
          <w:rFonts w:ascii="Arial" w:hAnsi="Arial" w:cs="Arial"/>
          <w:sz w:val="24"/>
          <w:szCs w:val="24"/>
          <w:lang w:val="en-US"/>
        </w:rPr>
        <w:t xml:space="preserve"> </w:t>
      </w:r>
      <w:r w:rsidR="004943D8" w:rsidRPr="00793DA3">
        <w:rPr>
          <w:rFonts w:ascii="Arial" w:hAnsi="Arial" w:cs="Arial"/>
          <w:sz w:val="24"/>
          <w:szCs w:val="24"/>
          <w:lang w:val="en-US"/>
        </w:rPr>
        <w:t>from</w:t>
      </w:r>
      <w:r w:rsidRPr="00793DA3">
        <w:rPr>
          <w:rFonts w:ascii="Arial" w:hAnsi="Arial" w:cs="Arial"/>
          <w:sz w:val="24"/>
          <w:szCs w:val="24"/>
          <w:lang w:val="en-US"/>
        </w:rPr>
        <w:t xml:space="preserve"> its lawful occupation of the disputed land but for the unlawful conduct of </w:t>
      </w:r>
      <w:r w:rsidR="004943D8" w:rsidRPr="00793DA3">
        <w:rPr>
          <w:rFonts w:ascii="Arial" w:hAnsi="Arial" w:cs="Arial"/>
          <w:sz w:val="24"/>
          <w:szCs w:val="24"/>
          <w:lang w:val="en-US"/>
        </w:rPr>
        <w:t>its regional representatives.</w:t>
      </w:r>
      <w:r w:rsidRPr="00793DA3">
        <w:rPr>
          <w:rFonts w:ascii="Arial" w:hAnsi="Arial" w:cs="Arial"/>
          <w:sz w:val="24"/>
          <w:szCs w:val="24"/>
          <w:lang w:val="en-US"/>
        </w:rPr>
        <w:t xml:space="preserve"> </w:t>
      </w:r>
      <w:r w:rsidR="004943D8" w:rsidRPr="00793DA3">
        <w:rPr>
          <w:rFonts w:ascii="Arial" w:hAnsi="Arial" w:cs="Arial"/>
          <w:sz w:val="24"/>
          <w:szCs w:val="24"/>
          <w:lang w:val="en-US"/>
        </w:rPr>
        <w:t>A</w:t>
      </w:r>
      <w:r w:rsidR="00367DC6" w:rsidRPr="00793DA3">
        <w:rPr>
          <w:rFonts w:ascii="Arial" w:hAnsi="Arial" w:cs="Arial"/>
          <w:sz w:val="24"/>
          <w:szCs w:val="24"/>
          <w:lang w:val="en-US"/>
        </w:rPr>
        <w:t>lthough contemporaneous</w:t>
      </w:r>
      <w:r w:rsidR="00E6460F">
        <w:rPr>
          <w:rFonts w:ascii="Arial" w:hAnsi="Arial" w:cs="Arial"/>
          <w:sz w:val="24"/>
          <w:szCs w:val="24"/>
          <w:lang w:val="en-US"/>
        </w:rPr>
        <w:t>,</w:t>
      </w:r>
      <w:r w:rsidR="00367DC6" w:rsidRPr="00793DA3">
        <w:rPr>
          <w:rStyle w:val="FootnoteReference"/>
          <w:rFonts w:ascii="Arial" w:hAnsi="Arial" w:cs="Arial"/>
          <w:sz w:val="24"/>
          <w:szCs w:val="24"/>
          <w:lang w:val="en-US"/>
        </w:rPr>
        <w:footnoteReference w:id="30"/>
      </w:r>
      <w:r w:rsidR="00E77EA3">
        <w:rPr>
          <w:rFonts w:ascii="Arial" w:hAnsi="Arial" w:cs="Arial"/>
          <w:sz w:val="24"/>
          <w:szCs w:val="24"/>
          <w:lang w:val="en-US"/>
        </w:rPr>
        <w:t xml:space="preserve"> </w:t>
      </w:r>
      <w:r w:rsidR="004943D8" w:rsidRPr="00793DA3">
        <w:rPr>
          <w:rFonts w:ascii="Arial" w:hAnsi="Arial" w:cs="Arial"/>
          <w:sz w:val="24"/>
          <w:szCs w:val="24"/>
          <w:lang w:val="en-US"/>
        </w:rPr>
        <w:t xml:space="preserve">the two agreements </w:t>
      </w:r>
      <w:r w:rsidRPr="00793DA3">
        <w:rPr>
          <w:rFonts w:ascii="Arial" w:hAnsi="Arial" w:cs="Arial"/>
          <w:sz w:val="24"/>
          <w:szCs w:val="24"/>
          <w:lang w:val="en-US"/>
        </w:rPr>
        <w:t>are separate juridical acts each one of which</w:t>
      </w:r>
      <w:r w:rsidR="00367DC6" w:rsidRPr="00793DA3">
        <w:rPr>
          <w:rFonts w:ascii="Arial" w:hAnsi="Arial" w:cs="Arial"/>
          <w:sz w:val="24"/>
          <w:szCs w:val="24"/>
          <w:lang w:val="en-US"/>
        </w:rPr>
        <w:t>,</w:t>
      </w:r>
      <w:r w:rsidRPr="00793DA3">
        <w:rPr>
          <w:rFonts w:ascii="Arial" w:hAnsi="Arial" w:cs="Arial"/>
          <w:sz w:val="24"/>
          <w:szCs w:val="24"/>
          <w:lang w:val="en-US"/>
        </w:rPr>
        <w:t xml:space="preserve"> </w:t>
      </w:r>
      <w:r w:rsidR="00367DC6" w:rsidRPr="00793DA3">
        <w:rPr>
          <w:rFonts w:ascii="Arial" w:hAnsi="Arial" w:cs="Arial"/>
          <w:sz w:val="24"/>
          <w:szCs w:val="24"/>
          <w:lang w:val="en-US"/>
        </w:rPr>
        <w:t>for its validity and enforceability, did not depend on the existence of the other. The reliance on the indivisibility of the two agreements must therefore fail.</w:t>
      </w:r>
    </w:p>
    <w:p w14:paraId="40D90986" w14:textId="77777777" w:rsidR="00367DC6" w:rsidRPr="00793DA3" w:rsidRDefault="00367DC6" w:rsidP="00F355DB">
      <w:pPr>
        <w:pStyle w:val="ListParagraph"/>
        <w:spacing w:line="480" w:lineRule="auto"/>
        <w:ind w:left="0"/>
        <w:contextualSpacing w:val="0"/>
        <w:jc w:val="both"/>
        <w:rPr>
          <w:rFonts w:ascii="Arial" w:hAnsi="Arial" w:cs="Arial"/>
          <w:lang w:val="en-US"/>
        </w:rPr>
      </w:pPr>
    </w:p>
    <w:p w14:paraId="1789BFE6" w14:textId="3902A264" w:rsidR="00367DC6" w:rsidRPr="00793DA3" w:rsidRDefault="00367DC6" w:rsidP="00793DA3">
      <w:pPr>
        <w:pStyle w:val="NoSpacing"/>
        <w:numPr>
          <w:ilvl w:val="0"/>
          <w:numId w:val="7"/>
        </w:numPr>
        <w:spacing w:line="480" w:lineRule="auto"/>
        <w:ind w:left="0" w:firstLine="0"/>
        <w:jc w:val="both"/>
        <w:rPr>
          <w:rFonts w:ascii="Arial" w:hAnsi="Arial" w:cs="Arial"/>
          <w:sz w:val="24"/>
          <w:szCs w:val="24"/>
          <w:lang w:val="en-US"/>
        </w:rPr>
      </w:pPr>
      <w:r w:rsidRPr="00793DA3">
        <w:rPr>
          <w:rFonts w:ascii="Arial" w:hAnsi="Arial" w:cs="Arial"/>
          <w:sz w:val="24"/>
          <w:szCs w:val="24"/>
          <w:lang w:val="en-US"/>
        </w:rPr>
        <w:t xml:space="preserve">All possible defences available to River View having failed, the question is whether the High Court ought to have granted restitution to River View for the payments made in respect of the two-way transactions. The obvious </w:t>
      </w:r>
      <w:r w:rsidR="001D76F3" w:rsidRPr="00793DA3">
        <w:rPr>
          <w:rFonts w:ascii="Arial" w:hAnsi="Arial" w:cs="Arial"/>
          <w:sz w:val="24"/>
          <w:szCs w:val="24"/>
          <w:lang w:val="en-US"/>
        </w:rPr>
        <w:t>objection to granting restitution is that the RTC is not a party to the proceedings although it had received the benefit of some of the money paid by River View</w:t>
      </w:r>
      <w:r w:rsidR="0029024D">
        <w:rPr>
          <w:rFonts w:ascii="Arial" w:hAnsi="Arial" w:cs="Arial"/>
          <w:sz w:val="24"/>
          <w:szCs w:val="24"/>
          <w:lang w:val="en-US"/>
        </w:rPr>
        <w:t>,</w:t>
      </w:r>
      <w:r w:rsidR="001D76F3" w:rsidRPr="00793DA3">
        <w:rPr>
          <w:rFonts w:ascii="Arial" w:hAnsi="Arial" w:cs="Arial"/>
          <w:sz w:val="24"/>
          <w:szCs w:val="24"/>
          <w:lang w:val="en-US"/>
        </w:rPr>
        <w:t xml:space="preserve"> </w:t>
      </w:r>
      <w:r w:rsidR="0029024D" w:rsidRPr="0029024D">
        <w:rPr>
          <w:rFonts w:ascii="Arial" w:hAnsi="Arial" w:cs="Arial"/>
          <w:sz w:val="24"/>
          <w:szCs w:val="24"/>
          <w:lang w:val="en-US"/>
        </w:rPr>
        <w:t>n</w:t>
      </w:r>
      <w:r w:rsidR="00ED55FE" w:rsidRPr="0029024D">
        <w:rPr>
          <w:rFonts w:ascii="Arial" w:hAnsi="Arial" w:cs="Arial"/>
          <w:sz w:val="24"/>
          <w:szCs w:val="24"/>
          <w:lang w:val="en-US"/>
        </w:rPr>
        <w:t>or was the DTA a party to the agreement to sell the property</w:t>
      </w:r>
      <w:r w:rsidR="00450BAF">
        <w:rPr>
          <w:rFonts w:ascii="Arial" w:hAnsi="Arial" w:cs="Arial"/>
          <w:sz w:val="24"/>
          <w:szCs w:val="24"/>
          <w:lang w:val="en-US"/>
        </w:rPr>
        <w:t>, as this judgment finds</w:t>
      </w:r>
      <w:r w:rsidR="00ED55FE" w:rsidRPr="0029024D">
        <w:rPr>
          <w:rFonts w:ascii="Arial" w:hAnsi="Arial" w:cs="Arial"/>
          <w:sz w:val="24"/>
          <w:szCs w:val="24"/>
          <w:lang w:val="en-US"/>
        </w:rPr>
        <w:t>.</w:t>
      </w:r>
      <w:r w:rsidR="00ED55FE">
        <w:rPr>
          <w:rFonts w:ascii="Arial" w:hAnsi="Arial" w:cs="Arial"/>
          <w:sz w:val="24"/>
          <w:szCs w:val="24"/>
          <w:lang w:val="en-US"/>
        </w:rPr>
        <w:t xml:space="preserve"> </w:t>
      </w:r>
      <w:r w:rsidR="001D76F3" w:rsidRPr="00793DA3">
        <w:rPr>
          <w:rFonts w:ascii="Arial" w:hAnsi="Arial" w:cs="Arial"/>
          <w:sz w:val="24"/>
          <w:szCs w:val="24"/>
          <w:lang w:val="en-US"/>
        </w:rPr>
        <w:t>It is no</w:t>
      </w:r>
      <w:r w:rsidR="004943D8" w:rsidRPr="00793DA3">
        <w:rPr>
          <w:rFonts w:ascii="Arial" w:hAnsi="Arial" w:cs="Arial"/>
          <w:sz w:val="24"/>
          <w:szCs w:val="24"/>
          <w:lang w:val="en-US"/>
        </w:rPr>
        <w:t>t a satisfactory</w:t>
      </w:r>
      <w:r w:rsidR="001D76F3" w:rsidRPr="00793DA3">
        <w:rPr>
          <w:rFonts w:ascii="Arial" w:hAnsi="Arial" w:cs="Arial"/>
          <w:sz w:val="24"/>
          <w:szCs w:val="24"/>
          <w:lang w:val="en-US"/>
        </w:rPr>
        <w:t xml:space="preserve"> answer to that objection to argue that the DTA benefitted both from the transfer into its name and the moneys paid to it for the transfer to River View. That is so because the evidence suggests that the moneys intended for DTA’s benefit under the agreement between River View and it might have been syphoned </w:t>
      </w:r>
      <w:r w:rsidR="003460BB" w:rsidRPr="00793DA3">
        <w:rPr>
          <w:rFonts w:ascii="Arial" w:hAnsi="Arial" w:cs="Arial"/>
          <w:sz w:val="24"/>
          <w:szCs w:val="24"/>
          <w:lang w:val="en-US"/>
        </w:rPr>
        <w:t xml:space="preserve">off </w:t>
      </w:r>
      <w:r w:rsidR="001D76F3" w:rsidRPr="00793DA3">
        <w:rPr>
          <w:rFonts w:ascii="Arial" w:hAnsi="Arial" w:cs="Arial"/>
          <w:sz w:val="24"/>
          <w:szCs w:val="24"/>
          <w:lang w:val="en-US"/>
        </w:rPr>
        <w:t>and applied for a nefarious purpose. The present is therefore not a case that readily lends itself to the grant of restitution to achieve justice between the protagonists.</w:t>
      </w:r>
    </w:p>
    <w:p w14:paraId="603DC753" w14:textId="77777777" w:rsidR="007674CE" w:rsidRPr="00793DA3" w:rsidRDefault="007674CE" w:rsidP="00F355DB">
      <w:pPr>
        <w:pStyle w:val="ListParagraph"/>
        <w:spacing w:line="480" w:lineRule="auto"/>
        <w:ind w:left="0"/>
        <w:contextualSpacing w:val="0"/>
        <w:jc w:val="both"/>
        <w:rPr>
          <w:rFonts w:ascii="Arial" w:hAnsi="Arial" w:cs="Arial"/>
          <w:lang w:val="en-US"/>
        </w:rPr>
      </w:pPr>
    </w:p>
    <w:p w14:paraId="3D14A361" w14:textId="38082D7A" w:rsidR="007674CE" w:rsidRPr="00793DA3" w:rsidRDefault="004943D8" w:rsidP="00793DA3">
      <w:pPr>
        <w:pStyle w:val="NoSpacing"/>
        <w:numPr>
          <w:ilvl w:val="0"/>
          <w:numId w:val="7"/>
        </w:numPr>
        <w:spacing w:line="480" w:lineRule="auto"/>
        <w:ind w:left="0" w:firstLine="0"/>
        <w:jc w:val="both"/>
        <w:rPr>
          <w:rFonts w:ascii="Arial" w:hAnsi="Arial" w:cs="Arial"/>
          <w:sz w:val="24"/>
          <w:szCs w:val="24"/>
          <w:lang w:val="en-US"/>
        </w:rPr>
      </w:pPr>
      <w:r w:rsidRPr="00793DA3">
        <w:rPr>
          <w:rFonts w:ascii="Arial" w:hAnsi="Arial" w:cs="Arial"/>
          <w:sz w:val="24"/>
          <w:szCs w:val="24"/>
          <w:lang w:val="en-US"/>
        </w:rPr>
        <w:t>T</w:t>
      </w:r>
      <w:r w:rsidR="00244548">
        <w:rPr>
          <w:rFonts w:ascii="Arial" w:hAnsi="Arial" w:cs="Arial"/>
          <w:sz w:val="24"/>
          <w:szCs w:val="24"/>
          <w:lang w:val="en-US"/>
        </w:rPr>
        <w:t>he appeal</w:t>
      </w:r>
      <w:r w:rsidR="007674CE" w:rsidRPr="00793DA3">
        <w:rPr>
          <w:rFonts w:ascii="Arial" w:hAnsi="Arial" w:cs="Arial"/>
          <w:sz w:val="24"/>
          <w:szCs w:val="24"/>
          <w:lang w:val="en-US"/>
        </w:rPr>
        <w:t xml:space="preserve"> </w:t>
      </w:r>
      <w:r w:rsidRPr="00793DA3">
        <w:rPr>
          <w:rFonts w:ascii="Arial" w:hAnsi="Arial" w:cs="Arial"/>
          <w:sz w:val="24"/>
          <w:szCs w:val="24"/>
          <w:lang w:val="en-US"/>
        </w:rPr>
        <w:t xml:space="preserve">therefore </w:t>
      </w:r>
      <w:r w:rsidR="007674CE" w:rsidRPr="00793DA3">
        <w:rPr>
          <w:rFonts w:ascii="Arial" w:hAnsi="Arial" w:cs="Arial"/>
          <w:sz w:val="24"/>
          <w:szCs w:val="24"/>
          <w:lang w:val="en-US"/>
        </w:rPr>
        <w:t>fail</w:t>
      </w:r>
      <w:r w:rsidR="00244548">
        <w:rPr>
          <w:rFonts w:ascii="Arial" w:hAnsi="Arial" w:cs="Arial"/>
          <w:sz w:val="24"/>
          <w:szCs w:val="24"/>
          <w:lang w:val="en-US"/>
        </w:rPr>
        <w:t>s</w:t>
      </w:r>
      <w:r w:rsidR="007674CE" w:rsidRPr="00793DA3">
        <w:rPr>
          <w:rFonts w:ascii="Arial" w:hAnsi="Arial" w:cs="Arial"/>
          <w:sz w:val="24"/>
          <w:szCs w:val="24"/>
          <w:lang w:val="en-US"/>
        </w:rPr>
        <w:t xml:space="preserve"> and costs must follow the result.</w:t>
      </w:r>
    </w:p>
    <w:p w14:paraId="2D75AAEA" w14:textId="77777777" w:rsidR="007674CE" w:rsidRDefault="007674CE" w:rsidP="00F355DB">
      <w:pPr>
        <w:pStyle w:val="ListParagraph"/>
        <w:spacing w:line="480" w:lineRule="auto"/>
        <w:ind w:left="0"/>
        <w:contextualSpacing w:val="0"/>
        <w:jc w:val="both"/>
        <w:rPr>
          <w:rFonts w:ascii="Arial" w:hAnsi="Arial" w:cs="Arial"/>
          <w:lang w:val="en-US"/>
        </w:rPr>
      </w:pPr>
    </w:p>
    <w:p w14:paraId="4D45E5FC" w14:textId="47A25A2F" w:rsidR="00EE189C" w:rsidRDefault="00E77EA3" w:rsidP="00793DA3">
      <w:pPr>
        <w:pStyle w:val="NoSpacing"/>
        <w:numPr>
          <w:ilvl w:val="0"/>
          <w:numId w:val="7"/>
        </w:numPr>
        <w:spacing w:line="480" w:lineRule="auto"/>
        <w:ind w:left="0" w:firstLine="0"/>
        <w:jc w:val="both"/>
        <w:rPr>
          <w:rFonts w:ascii="Arial" w:hAnsi="Arial" w:cs="Arial"/>
          <w:sz w:val="24"/>
          <w:szCs w:val="24"/>
          <w:lang w:val="en-US"/>
        </w:rPr>
      </w:pPr>
      <w:r>
        <w:rPr>
          <w:rFonts w:ascii="Arial" w:hAnsi="Arial" w:cs="Arial"/>
          <w:sz w:val="24"/>
          <w:szCs w:val="24"/>
          <w:lang w:val="en-US"/>
        </w:rPr>
        <w:t>I wish to finally</w:t>
      </w:r>
      <w:r w:rsidR="007674CE" w:rsidRPr="00793DA3">
        <w:rPr>
          <w:rFonts w:ascii="Arial" w:hAnsi="Arial" w:cs="Arial"/>
          <w:sz w:val="24"/>
          <w:szCs w:val="24"/>
          <w:lang w:val="en-US"/>
        </w:rPr>
        <w:t xml:space="preserve"> deal with the High Court’s </w:t>
      </w:r>
      <w:r w:rsidR="004943D8" w:rsidRPr="00793DA3">
        <w:rPr>
          <w:rFonts w:ascii="Arial" w:hAnsi="Arial" w:cs="Arial"/>
          <w:sz w:val="24"/>
          <w:szCs w:val="24"/>
          <w:lang w:val="en-US"/>
        </w:rPr>
        <w:t xml:space="preserve">conclusion </w:t>
      </w:r>
      <w:r w:rsidR="007674CE" w:rsidRPr="00793DA3">
        <w:rPr>
          <w:rFonts w:ascii="Arial" w:hAnsi="Arial" w:cs="Arial"/>
          <w:sz w:val="24"/>
          <w:szCs w:val="24"/>
          <w:lang w:val="en-US"/>
        </w:rPr>
        <w:t xml:space="preserve">that compliance with </w:t>
      </w:r>
      <w:r w:rsidR="006C1526" w:rsidRPr="00793DA3">
        <w:rPr>
          <w:rFonts w:ascii="Arial" w:hAnsi="Arial" w:cs="Arial"/>
          <w:sz w:val="24"/>
          <w:szCs w:val="24"/>
          <w:lang w:val="en-US"/>
        </w:rPr>
        <w:t xml:space="preserve">s 97(1) of the Deeds Registries Act 47 of 1937 </w:t>
      </w:r>
      <w:r w:rsidR="007674CE" w:rsidRPr="00793DA3">
        <w:rPr>
          <w:rFonts w:ascii="Arial" w:hAnsi="Arial" w:cs="Arial"/>
          <w:sz w:val="24"/>
          <w:szCs w:val="24"/>
          <w:lang w:val="en-US"/>
        </w:rPr>
        <w:t>was peremptory.</w:t>
      </w:r>
      <w:r w:rsidR="00EE189C" w:rsidRPr="00793DA3">
        <w:rPr>
          <w:rFonts w:ascii="Arial" w:hAnsi="Arial" w:cs="Arial"/>
          <w:sz w:val="24"/>
          <w:szCs w:val="24"/>
          <w:lang w:val="en-US"/>
        </w:rPr>
        <w:t xml:space="preserve"> In its judgment the court </w:t>
      </w:r>
      <w:r w:rsidR="00EE189C" w:rsidRPr="00DC3BD6">
        <w:rPr>
          <w:rFonts w:ascii="Arial" w:hAnsi="Arial" w:cs="Arial"/>
          <w:i/>
          <w:sz w:val="24"/>
          <w:szCs w:val="24"/>
          <w:lang w:val="en-US"/>
        </w:rPr>
        <w:t>a quo</w:t>
      </w:r>
      <w:r w:rsidR="00EE189C" w:rsidRPr="00793DA3">
        <w:rPr>
          <w:rFonts w:ascii="Arial" w:hAnsi="Arial" w:cs="Arial"/>
          <w:sz w:val="24"/>
          <w:szCs w:val="24"/>
          <w:lang w:val="en-US"/>
        </w:rPr>
        <w:t xml:space="preserve"> reasoned as follows</w:t>
      </w:r>
      <w:r w:rsidR="00DC3BD6">
        <w:rPr>
          <w:rFonts w:ascii="Arial" w:hAnsi="Arial" w:cs="Arial"/>
          <w:sz w:val="24"/>
          <w:szCs w:val="24"/>
          <w:lang w:val="en-US"/>
        </w:rPr>
        <w:t>:</w:t>
      </w:r>
      <w:r w:rsidR="00D269C0" w:rsidRPr="00793DA3">
        <w:rPr>
          <w:rStyle w:val="FootnoteReference"/>
          <w:rFonts w:ascii="Arial" w:hAnsi="Arial" w:cs="Arial"/>
          <w:sz w:val="24"/>
          <w:szCs w:val="24"/>
          <w:lang w:val="en-US"/>
        </w:rPr>
        <w:footnoteReference w:id="31"/>
      </w:r>
    </w:p>
    <w:p w14:paraId="18997AE1" w14:textId="77777777" w:rsidR="00DC3BD6" w:rsidRPr="00793DA3" w:rsidRDefault="00DC3BD6" w:rsidP="00DC3BD6">
      <w:pPr>
        <w:pStyle w:val="NoSpacing"/>
        <w:spacing w:line="480" w:lineRule="auto"/>
        <w:jc w:val="both"/>
        <w:rPr>
          <w:rFonts w:ascii="Arial" w:hAnsi="Arial" w:cs="Arial"/>
          <w:sz w:val="24"/>
          <w:szCs w:val="24"/>
          <w:lang w:val="en-US"/>
        </w:rPr>
      </w:pPr>
    </w:p>
    <w:p w14:paraId="0E69DF79" w14:textId="48ED8C9E" w:rsidR="00EE189C" w:rsidRPr="00EE189C" w:rsidRDefault="00EE189C" w:rsidP="00DC3BD6">
      <w:pPr>
        <w:pStyle w:val="ListParagraph"/>
        <w:spacing w:line="360" w:lineRule="auto"/>
        <w:jc w:val="both"/>
        <w:rPr>
          <w:rFonts w:ascii="Arial" w:hAnsi="Arial" w:cs="Arial"/>
          <w:sz w:val="22"/>
          <w:szCs w:val="22"/>
          <w:lang w:val="en-US"/>
        </w:rPr>
      </w:pPr>
      <w:r w:rsidRPr="00EE189C">
        <w:rPr>
          <w:rFonts w:ascii="Arial" w:hAnsi="Arial" w:cs="Arial"/>
          <w:sz w:val="22"/>
          <w:szCs w:val="22"/>
          <w:lang w:val="en-US"/>
        </w:rPr>
        <w:t>‘[49]</w:t>
      </w:r>
      <w:r w:rsidRPr="00EE189C">
        <w:rPr>
          <w:rFonts w:ascii="Arial" w:hAnsi="Arial" w:cs="Arial"/>
          <w:sz w:val="22"/>
          <w:szCs w:val="22"/>
          <w:lang w:val="en-US"/>
        </w:rPr>
        <w:tab/>
        <w:t xml:space="preserve">In so far as the applicability of </w:t>
      </w:r>
      <w:r w:rsidRPr="00EE189C">
        <w:rPr>
          <w:rFonts w:ascii="Arial" w:hAnsi="Arial" w:cs="Arial"/>
          <w:i/>
          <w:sz w:val="22"/>
          <w:szCs w:val="22"/>
          <w:lang w:val="en-US"/>
        </w:rPr>
        <w:t>section 97 (1)</w:t>
      </w:r>
      <w:r w:rsidRPr="00EE189C">
        <w:rPr>
          <w:rFonts w:ascii="Arial" w:hAnsi="Arial" w:cs="Arial"/>
          <w:sz w:val="22"/>
          <w:szCs w:val="22"/>
          <w:lang w:val="en-US"/>
        </w:rPr>
        <w:t xml:space="preserve"> of the </w:t>
      </w:r>
      <w:r w:rsidRPr="00EE189C">
        <w:rPr>
          <w:rFonts w:ascii="Arial" w:hAnsi="Arial" w:cs="Arial"/>
          <w:i/>
          <w:sz w:val="22"/>
          <w:szCs w:val="22"/>
          <w:lang w:val="en-US"/>
        </w:rPr>
        <w:t xml:space="preserve">Deeds Registries Act 47 of 1937 </w:t>
      </w:r>
      <w:r w:rsidRPr="00EE189C">
        <w:rPr>
          <w:rFonts w:ascii="Arial" w:hAnsi="Arial" w:cs="Arial"/>
          <w:sz w:val="22"/>
          <w:szCs w:val="22"/>
          <w:lang w:val="en-US"/>
        </w:rPr>
        <w:t>is concerned, I am in support of the authorities to the effect that compliance therewith is peremptory.</w:t>
      </w:r>
      <w:r w:rsidRPr="00EE189C">
        <w:rPr>
          <w:rFonts w:ascii="Arial" w:hAnsi="Arial" w:cs="Arial"/>
          <w:sz w:val="22"/>
          <w:szCs w:val="22"/>
          <w:vertAlign w:val="superscript"/>
          <w:lang w:val="en-US"/>
        </w:rPr>
        <w:footnoteReference w:id="32"/>
      </w:r>
      <w:r w:rsidRPr="00EE189C">
        <w:rPr>
          <w:rFonts w:ascii="Arial" w:hAnsi="Arial" w:cs="Arial"/>
          <w:sz w:val="22"/>
          <w:szCs w:val="22"/>
          <w:lang w:val="en-US"/>
        </w:rPr>
        <w:t xml:space="preserve"> Where a particular matter falls within the ambit of </w:t>
      </w:r>
      <w:r w:rsidRPr="00EE189C">
        <w:rPr>
          <w:rFonts w:ascii="Arial" w:hAnsi="Arial" w:cs="Arial"/>
          <w:i/>
          <w:sz w:val="22"/>
          <w:szCs w:val="22"/>
          <w:lang w:val="en-US"/>
        </w:rPr>
        <w:t xml:space="preserve">section 97 (1), </w:t>
      </w:r>
      <w:r w:rsidRPr="00EE189C">
        <w:rPr>
          <w:rFonts w:ascii="Arial" w:hAnsi="Arial" w:cs="Arial"/>
          <w:sz w:val="22"/>
          <w:szCs w:val="22"/>
          <w:lang w:val="en-US"/>
        </w:rPr>
        <w:t>like the present matter is, the plaintiff is obliged to comply with the provisions of section 97 (1). A plaintiff who does not do so, does so at his or her own peril.</w:t>
      </w:r>
    </w:p>
    <w:p w14:paraId="0EAEE83F" w14:textId="77777777" w:rsidR="00EE189C" w:rsidRPr="00EE189C" w:rsidRDefault="00EE189C" w:rsidP="00DC3BD6">
      <w:pPr>
        <w:pStyle w:val="ListParagraph"/>
        <w:spacing w:line="360" w:lineRule="auto"/>
        <w:rPr>
          <w:rFonts w:ascii="Arial" w:hAnsi="Arial" w:cs="Arial"/>
          <w:sz w:val="22"/>
          <w:szCs w:val="22"/>
          <w:lang w:val="en-US"/>
        </w:rPr>
      </w:pPr>
    </w:p>
    <w:p w14:paraId="671070B5" w14:textId="06BDB36B" w:rsidR="00EE189C" w:rsidRDefault="00EE189C" w:rsidP="00DC3BD6">
      <w:pPr>
        <w:pStyle w:val="ListParagraph"/>
        <w:spacing w:line="360" w:lineRule="auto"/>
        <w:jc w:val="both"/>
        <w:rPr>
          <w:rFonts w:ascii="Arial" w:hAnsi="Arial" w:cs="Arial"/>
          <w:sz w:val="22"/>
          <w:szCs w:val="22"/>
          <w:lang w:val="en-US"/>
        </w:rPr>
      </w:pPr>
      <w:r w:rsidRPr="00EE189C">
        <w:rPr>
          <w:rFonts w:ascii="Arial" w:hAnsi="Arial" w:cs="Arial"/>
          <w:sz w:val="22"/>
          <w:szCs w:val="22"/>
          <w:lang w:val="en-US"/>
        </w:rPr>
        <w:t>[50]</w:t>
      </w:r>
      <w:r w:rsidRPr="00EE189C">
        <w:rPr>
          <w:rFonts w:ascii="Arial" w:hAnsi="Arial" w:cs="Arial"/>
          <w:sz w:val="22"/>
          <w:szCs w:val="22"/>
          <w:lang w:val="en-US"/>
        </w:rPr>
        <w:tab/>
        <w:t xml:space="preserve">In the present matter I have found that the plaintiff had no intention to transfer ownership of the property to the first defendant. The plaintiff, therefore, cannot lose its ownership of the property in these circumstances. I am of the view that in the present circumstances, it would lead to an absurdity and manifest injustice to uphold the first defendant’s contention that the plaintiff’s claim be dismissed on account of plaintiff’s non-compliance with the provisions of </w:t>
      </w:r>
      <w:r w:rsidRPr="00EE189C">
        <w:rPr>
          <w:rFonts w:ascii="Arial" w:hAnsi="Arial" w:cs="Arial"/>
          <w:i/>
          <w:sz w:val="22"/>
          <w:szCs w:val="22"/>
          <w:lang w:val="en-US"/>
        </w:rPr>
        <w:t>section 97 (1).</w:t>
      </w:r>
      <w:r w:rsidRPr="00EE189C">
        <w:rPr>
          <w:rFonts w:ascii="Arial" w:hAnsi="Arial" w:cs="Arial"/>
          <w:sz w:val="22"/>
          <w:szCs w:val="22"/>
          <w:lang w:val="en-US"/>
        </w:rPr>
        <w:t xml:space="preserve"> It is my view that upholding the first defendant’s contention on this score and allow a void transaction to stand, in these circumstances, would produce a result that could not have been intended by the legislature. I would, therefore, not uphold the first defendant’s contention in this matter.’</w:t>
      </w:r>
    </w:p>
    <w:p w14:paraId="42D925AC" w14:textId="77777777" w:rsidR="000C39E5" w:rsidRPr="00EE189C" w:rsidRDefault="000C39E5" w:rsidP="00F355DB">
      <w:pPr>
        <w:pStyle w:val="ListParagraph"/>
        <w:spacing w:line="480" w:lineRule="auto"/>
        <w:rPr>
          <w:rFonts w:ascii="Arial" w:hAnsi="Arial" w:cs="Arial"/>
          <w:sz w:val="22"/>
          <w:szCs w:val="22"/>
          <w:lang w:val="en-US"/>
        </w:rPr>
      </w:pPr>
    </w:p>
    <w:p w14:paraId="7B6A12B4" w14:textId="2BA8ECCD" w:rsidR="007674CE" w:rsidRPr="003900F8" w:rsidRDefault="00D269C0" w:rsidP="00793DA3">
      <w:pPr>
        <w:pStyle w:val="NoSpacing"/>
        <w:numPr>
          <w:ilvl w:val="0"/>
          <w:numId w:val="7"/>
        </w:numPr>
        <w:spacing w:line="480" w:lineRule="auto"/>
        <w:ind w:left="0" w:firstLine="0"/>
        <w:jc w:val="both"/>
        <w:rPr>
          <w:rFonts w:ascii="Arial" w:hAnsi="Arial" w:cs="Arial"/>
          <w:sz w:val="24"/>
          <w:szCs w:val="24"/>
          <w:lang w:val="en-US"/>
        </w:rPr>
      </w:pPr>
      <w:r w:rsidRPr="003900F8">
        <w:rPr>
          <w:rFonts w:ascii="Arial" w:hAnsi="Arial" w:cs="Arial"/>
          <w:sz w:val="24"/>
          <w:szCs w:val="24"/>
          <w:lang w:val="en-US"/>
        </w:rPr>
        <w:t>If</w:t>
      </w:r>
      <w:r w:rsidR="005766EB">
        <w:rPr>
          <w:rFonts w:ascii="Arial" w:hAnsi="Arial" w:cs="Arial"/>
          <w:sz w:val="24"/>
          <w:szCs w:val="24"/>
          <w:lang w:val="en-US"/>
        </w:rPr>
        <w:t>,</w:t>
      </w:r>
      <w:r w:rsidRPr="003900F8">
        <w:rPr>
          <w:rFonts w:ascii="Arial" w:hAnsi="Arial" w:cs="Arial"/>
          <w:sz w:val="24"/>
          <w:szCs w:val="24"/>
          <w:lang w:val="en-US"/>
        </w:rPr>
        <w:t xml:space="preserve"> according to the court </w:t>
      </w:r>
      <w:r w:rsidRPr="00DC3BD6">
        <w:rPr>
          <w:rFonts w:ascii="Arial" w:hAnsi="Arial" w:cs="Arial"/>
          <w:i/>
          <w:sz w:val="24"/>
          <w:szCs w:val="24"/>
          <w:lang w:val="en-US"/>
        </w:rPr>
        <w:t>a quo</w:t>
      </w:r>
      <w:r w:rsidRPr="003900F8">
        <w:rPr>
          <w:rFonts w:ascii="Arial" w:hAnsi="Arial" w:cs="Arial"/>
          <w:sz w:val="24"/>
          <w:szCs w:val="24"/>
          <w:lang w:val="en-US"/>
        </w:rPr>
        <w:t>, the provision is in indeed peremptory</w:t>
      </w:r>
      <w:r w:rsidR="007674CE" w:rsidRPr="003900F8">
        <w:rPr>
          <w:rFonts w:ascii="Arial" w:hAnsi="Arial" w:cs="Arial"/>
          <w:sz w:val="24"/>
          <w:szCs w:val="24"/>
          <w:lang w:val="en-US"/>
        </w:rPr>
        <w:t xml:space="preserve"> it is curious that the court was prepared not to non-suit the DTA for its non-compliance. There was consensus between the parties at the hearing of the appeal that the provision is only directory and that in an appropriate case its non-compliance may be condoned. There is a</w:t>
      </w:r>
      <w:r w:rsidR="000C39E5" w:rsidRPr="003900F8">
        <w:rPr>
          <w:rFonts w:ascii="Arial" w:hAnsi="Arial" w:cs="Arial"/>
          <w:sz w:val="24"/>
          <w:szCs w:val="24"/>
          <w:lang w:val="en-US"/>
        </w:rPr>
        <w:t>uthority in support of that approach</w:t>
      </w:r>
      <w:r w:rsidR="007674CE" w:rsidRPr="003900F8">
        <w:rPr>
          <w:rFonts w:ascii="Arial" w:hAnsi="Arial" w:cs="Arial"/>
          <w:sz w:val="24"/>
          <w:szCs w:val="24"/>
          <w:lang w:val="en-US"/>
        </w:rPr>
        <w:t xml:space="preserve"> which</w:t>
      </w:r>
      <w:r w:rsidR="000D55E0" w:rsidRPr="003900F8">
        <w:rPr>
          <w:rFonts w:ascii="Arial" w:hAnsi="Arial" w:cs="Arial"/>
          <w:sz w:val="24"/>
          <w:szCs w:val="24"/>
          <w:lang w:val="en-US"/>
        </w:rPr>
        <w:t>,</w:t>
      </w:r>
      <w:r w:rsidR="007674CE" w:rsidRPr="003900F8">
        <w:rPr>
          <w:rFonts w:ascii="Arial" w:hAnsi="Arial" w:cs="Arial"/>
          <w:sz w:val="24"/>
          <w:szCs w:val="24"/>
          <w:lang w:val="en-US"/>
        </w:rPr>
        <w:t xml:space="preserve"> in my view</w:t>
      </w:r>
      <w:r w:rsidR="000D55E0" w:rsidRPr="003900F8">
        <w:rPr>
          <w:rFonts w:ascii="Arial" w:hAnsi="Arial" w:cs="Arial"/>
          <w:sz w:val="24"/>
          <w:szCs w:val="24"/>
          <w:lang w:val="en-US"/>
        </w:rPr>
        <w:t>, represents the correct position.</w:t>
      </w:r>
      <w:r w:rsidR="004943D8" w:rsidRPr="003900F8">
        <w:rPr>
          <w:rStyle w:val="FootnoteReference"/>
          <w:rFonts w:ascii="Arial" w:hAnsi="Arial" w:cs="Arial"/>
          <w:sz w:val="24"/>
          <w:szCs w:val="24"/>
          <w:lang w:val="en-US"/>
        </w:rPr>
        <w:footnoteReference w:id="33"/>
      </w:r>
      <w:r w:rsidR="000D55E0" w:rsidRPr="003900F8">
        <w:rPr>
          <w:rFonts w:ascii="Arial" w:hAnsi="Arial" w:cs="Arial"/>
          <w:sz w:val="24"/>
          <w:szCs w:val="24"/>
          <w:lang w:val="en-US"/>
        </w:rPr>
        <w:t xml:space="preserve"> Although it is not critical </w:t>
      </w:r>
      <w:r w:rsidR="004943D8" w:rsidRPr="003900F8">
        <w:rPr>
          <w:rFonts w:ascii="Arial" w:hAnsi="Arial" w:cs="Arial"/>
          <w:sz w:val="24"/>
          <w:szCs w:val="24"/>
          <w:lang w:val="en-US"/>
        </w:rPr>
        <w:t>to</w:t>
      </w:r>
      <w:r w:rsidR="000D55E0" w:rsidRPr="003900F8">
        <w:rPr>
          <w:rFonts w:ascii="Arial" w:hAnsi="Arial" w:cs="Arial"/>
          <w:sz w:val="24"/>
          <w:szCs w:val="24"/>
          <w:lang w:val="en-US"/>
        </w:rPr>
        <w:t xml:space="preserve"> the outcome of the present appeal, it is important that an incorrect precedent is not perpetuated. The High Court’s conclusion that s </w:t>
      </w:r>
      <w:r w:rsidR="006C1526" w:rsidRPr="003900F8">
        <w:rPr>
          <w:rFonts w:ascii="Arial" w:hAnsi="Arial" w:cs="Arial"/>
          <w:sz w:val="24"/>
          <w:szCs w:val="24"/>
          <w:lang w:val="en-US"/>
        </w:rPr>
        <w:t xml:space="preserve">97(1) of </w:t>
      </w:r>
      <w:r w:rsidR="00B309B1">
        <w:rPr>
          <w:rFonts w:ascii="Arial" w:hAnsi="Arial" w:cs="Arial"/>
          <w:sz w:val="24"/>
          <w:szCs w:val="24"/>
          <w:lang w:val="en-US"/>
        </w:rPr>
        <w:t xml:space="preserve">the Deeds Registries </w:t>
      </w:r>
      <w:r w:rsidR="006C1526" w:rsidRPr="003900F8">
        <w:rPr>
          <w:rFonts w:ascii="Arial" w:hAnsi="Arial" w:cs="Arial"/>
          <w:sz w:val="24"/>
          <w:szCs w:val="24"/>
          <w:lang w:val="en-US"/>
        </w:rPr>
        <w:t>Act 47 of 1937</w:t>
      </w:r>
      <w:r w:rsidR="000D55E0" w:rsidRPr="003900F8">
        <w:rPr>
          <w:rFonts w:ascii="Arial" w:hAnsi="Arial" w:cs="Arial"/>
          <w:sz w:val="24"/>
          <w:szCs w:val="24"/>
          <w:lang w:val="en-US"/>
        </w:rPr>
        <w:t xml:space="preserve"> is p</w:t>
      </w:r>
      <w:r w:rsidR="005766EB">
        <w:rPr>
          <w:rFonts w:ascii="Arial" w:hAnsi="Arial" w:cs="Arial"/>
          <w:sz w:val="24"/>
          <w:szCs w:val="24"/>
          <w:lang w:val="en-US"/>
        </w:rPr>
        <w:t>eremptory is therefore erroneous</w:t>
      </w:r>
      <w:r w:rsidR="000D55E0" w:rsidRPr="003900F8">
        <w:rPr>
          <w:rFonts w:ascii="Arial" w:hAnsi="Arial" w:cs="Arial"/>
          <w:sz w:val="24"/>
          <w:szCs w:val="24"/>
          <w:lang w:val="en-US"/>
        </w:rPr>
        <w:t>.</w:t>
      </w:r>
      <w:r w:rsidR="007674CE" w:rsidRPr="003900F8">
        <w:rPr>
          <w:rFonts w:ascii="Arial" w:hAnsi="Arial" w:cs="Arial"/>
          <w:sz w:val="24"/>
          <w:szCs w:val="24"/>
          <w:lang w:val="en-US"/>
        </w:rPr>
        <w:t xml:space="preserve"> </w:t>
      </w:r>
    </w:p>
    <w:p w14:paraId="018DE677" w14:textId="77777777" w:rsidR="006C1526" w:rsidRPr="003900F8" w:rsidRDefault="006C1526" w:rsidP="00F355DB">
      <w:pPr>
        <w:pStyle w:val="ListParagraph"/>
        <w:spacing w:line="480" w:lineRule="auto"/>
        <w:ind w:left="0"/>
        <w:contextualSpacing w:val="0"/>
        <w:jc w:val="both"/>
        <w:rPr>
          <w:rFonts w:ascii="Arial" w:hAnsi="Arial" w:cs="Arial"/>
          <w:lang w:val="en-US"/>
        </w:rPr>
      </w:pPr>
    </w:p>
    <w:p w14:paraId="3BCF173B" w14:textId="12BB0E86" w:rsidR="006C1526" w:rsidRPr="003900F8" w:rsidRDefault="006C1526" w:rsidP="00F355DB">
      <w:pPr>
        <w:pStyle w:val="ListParagraph"/>
        <w:spacing w:line="480" w:lineRule="auto"/>
        <w:ind w:left="0"/>
        <w:contextualSpacing w:val="0"/>
        <w:jc w:val="both"/>
        <w:rPr>
          <w:rFonts w:ascii="Arial" w:hAnsi="Arial" w:cs="Arial"/>
          <w:u w:val="single"/>
          <w:lang w:val="en-US"/>
        </w:rPr>
      </w:pPr>
      <w:r w:rsidRPr="003900F8">
        <w:rPr>
          <w:rFonts w:ascii="Arial" w:hAnsi="Arial" w:cs="Arial"/>
          <w:u w:val="single"/>
          <w:lang w:val="en-US"/>
        </w:rPr>
        <w:t>Order</w:t>
      </w:r>
    </w:p>
    <w:p w14:paraId="2D28F2B0" w14:textId="19F253F3" w:rsidR="006C1526" w:rsidRPr="006C1526" w:rsidRDefault="006C1526" w:rsidP="00793DA3">
      <w:pPr>
        <w:pStyle w:val="NoSpacing"/>
        <w:numPr>
          <w:ilvl w:val="0"/>
          <w:numId w:val="7"/>
        </w:numPr>
        <w:spacing w:line="480" w:lineRule="auto"/>
        <w:ind w:left="0" w:firstLine="0"/>
        <w:jc w:val="both"/>
        <w:rPr>
          <w:rFonts w:ascii="Arial" w:hAnsi="Arial" w:cs="Arial"/>
          <w:lang w:val="en-US"/>
        </w:rPr>
      </w:pPr>
      <w:r w:rsidRPr="003900F8">
        <w:rPr>
          <w:rFonts w:ascii="Arial" w:hAnsi="Arial" w:cs="Arial"/>
          <w:sz w:val="24"/>
          <w:szCs w:val="24"/>
          <w:lang w:val="en-US"/>
        </w:rPr>
        <w:t xml:space="preserve">In the result, the appeal is dismissed with costs consequent upon the employment of one instructing and one instructed </w:t>
      </w:r>
      <w:r w:rsidR="00B22463" w:rsidRPr="00B22463">
        <w:rPr>
          <w:rFonts w:ascii="Arial" w:hAnsi="Arial" w:cs="Arial"/>
          <w:sz w:val="24"/>
          <w:szCs w:val="24"/>
          <w:lang w:val="en-GB"/>
        </w:rPr>
        <w:t>legal practitioner</w:t>
      </w:r>
      <w:r w:rsidRPr="003900F8">
        <w:rPr>
          <w:rFonts w:ascii="Arial" w:hAnsi="Arial" w:cs="Arial"/>
          <w:sz w:val="24"/>
          <w:szCs w:val="24"/>
          <w:lang w:val="en-US"/>
        </w:rPr>
        <w:t>.</w:t>
      </w:r>
    </w:p>
    <w:p w14:paraId="6D356438" w14:textId="77777777" w:rsidR="003D51B6" w:rsidRPr="003D51B6" w:rsidRDefault="003D51B6" w:rsidP="003D51B6">
      <w:pPr>
        <w:rPr>
          <w:rFonts w:ascii="Arial" w:hAnsi="Arial" w:cs="Arial"/>
          <w:b/>
          <w:lang w:val="en-ZA"/>
        </w:rPr>
      </w:pPr>
    </w:p>
    <w:p w14:paraId="3452B2A1" w14:textId="77777777" w:rsidR="003D51B6" w:rsidRPr="003D51B6" w:rsidRDefault="003D51B6" w:rsidP="003D51B6">
      <w:pPr>
        <w:rPr>
          <w:rFonts w:ascii="Arial" w:hAnsi="Arial" w:cs="Arial"/>
          <w:b/>
          <w:lang w:val="en-ZA"/>
        </w:rPr>
      </w:pPr>
    </w:p>
    <w:p w14:paraId="639B8EBF" w14:textId="77777777" w:rsidR="003D51B6" w:rsidRPr="003D51B6" w:rsidRDefault="003D51B6" w:rsidP="003D51B6">
      <w:pPr>
        <w:rPr>
          <w:rFonts w:ascii="Arial" w:hAnsi="Arial" w:cs="Arial"/>
          <w:b/>
          <w:lang w:val="en-ZA"/>
        </w:rPr>
      </w:pPr>
    </w:p>
    <w:p w14:paraId="61C0216E" w14:textId="77777777" w:rsidR="003D51B6" w:rsidRPr="003D51B6" w:rsidRDefault="003D51B6" w:rsidP="003D51B6">
      <w:pPr>
        <w:rPr>
          <w:rFonts w:ascii="Arial" w:hAnsi="Arial" w:cs="Arial"/>
          <w:b/>
          <w:lang w:val="en-ZA"/>
        </w:rPr>
      </w:pPr>
    </w:p>
    <w:p w14:paraId="22CF7651" w14:textId="77777777" w:rsidR="003D51B6" w:rsidRPr="003D51B6" w:rsidRDefault="003D51B6" w:rsidP="003D51B6">
      <w:pPr>
        <w:rPr>
          <w:rFonts w:ascii="Arial" w:hAnsi="Arial" w:cs="Arial"/>
          <w:b/>
          <w:lang w:val="en-ZA"/>
        </w:rPr>
      </w:pPr>
    </w:p>
    <w:p w14:paraId="0BFAD6D9" w14:textId="77777777" w:rsidR="003D51B6" w:rsidRPr="003D51B6" w:rsidRDefault="003D51B6" w:rsidP="003D51B6">
      <w:pPr>
        <w:rPr>
          <w:rFonts w:ascii="Arial" w:hAnsi="Arial" w:cs="Arial"/>
          <w:b/>
          <w:lang w:val="en-ZA"/>
        </w:rPr>
      </w:pPr>
    </w:p>
    <w:p w14:paraId="3110F902" w14:textId="77777777" w:rsidR="003D51B6" w:rsidRPr="003D51B6" w:rsidRDefault="003D51B6" w:rsidP="003D51B6">
      <w:pPr>
        <w:rPr>
          <w:rFonts w:ascii="Arial" w:hAnsi="Arial" w:cs="Arial"/>
          <w:b/>
          <w:lang w:val="en-ZA"/>
        </w:rPr>
      </w:pPr>
    </w:p>
    <w:p w14:paraId="732D81B6" w14:textId="77777777" w:rsidR="003D51B6" w:rsidRPr="003D51B6" w:rsidRDefault="003D51B6" w:rsidP="003D51B6">
      <w:pPr>
        <w:spacing w:line="276" w:lineRule="auto"/>
        <w:jc w:val="both"/>
        <w:rPr>
          <w:rFonts w:ascii="Arial" w:hAnsi="Arial" w:cs="Arial"/>
          <w:b/>
          <w:lang w:val="en-ZA"/>
        </w:rPr>
      </w:pPr>
      <w:r w:rsidRPr="003D51B6">
        <w:rPr>
          <w:rFonts w:ascii="Arial" w:hAnsi="Arial" w:cs="Arial"/>
          <w:b/>
          <w:lang w:val="en-ZA"/>
        </w:rPr>
        <w:t>__________________</w:t>
      </w:r>
    </w:p>
    <w:p w14:paraId="39C80A85" w14:textId="02A4E40D" w:rsidR="003D51B6" w:rsidRPr="003D51B6" w:rsidRDefault="00EB3A93" w:rsidP="003D51B6">
      <w:pPr>
        <w:jc w:val="both"/>
        <w:rPr>
          <w:rFonts w:ascii="Arial" w:hAnsi="Arial" w:cs="Arial"/>
          <w:b/>
          <w:lang w:val="en-ZA"/>
        </w:rPr>
      </w:pPr>
      <w:r>
        <w:rPr>
          <w:rFonts w:ascii="Arial" w:hAnsi="Arial" w:cs="Arial"/>
          <w:b/>
          <w:lang w:val="en-ZA"/>
        </w:rPr>
        <w:t>DAMASEB DCJ</w:t>
      </w:r>
    </w:p>
    <w:p w14:paraId="4A485759" w14:textId="77777777" w:rsidR="003D51B6" w:rsidRPr="003D51B6" w:rsidRDefault="003D51B6" w:rsidP="003D51B6">
      <w:pPr>
        <w:jc w:val="both"/>
        <w:rPr>
          <w:rFonts w:ascii="Arial" w:hAnsi="Arial" w:cs="Arial"/>
          <w:b/>
          <w:lang w:val="en-ZA"/>
        </w:rPr>
      </w:pPr>
    </w:p>
    <w:p w14:paraId="544BD2AA" w14:textId="77777777" w:rsidR="003D51B6" w:rsidRPr="003D51B6" w:rsidRDefault="003D51B6" w:rsidP="003D51B6">
      <w:pPr>
        <w:jc w:val="both"/>
        <w:rPr>
          <w:rFonts w:ascii="Arial" w:hAnsi="Arial" w:cs="Arial"/>
          <w:b/>
          <w:lang w:val="en-ZA"/>
        </w:rPr>
      </w:pPr>
    </w:p>
    <w:p w14:paraId="7BDD9BB8" w14:textId="77777777" w:rsidR="003D51B6" w:rsidRPr="003D51B6" w:rsidRDefault="003D51B6" w:rsidP="003D51B6">
      <w:pPr>
        <w:jc w:val="both"/>
        <w:rPr>
          <w:rFonts w:ascii="Arial" w:hAnsi="Arial" w:cs="Arial"/>
          <w:b/>
          <w:lang w:val="en-ZA"/>
        </w:rPr>
      </w:pPr>
    </w:p>
    <w:p w14:paraId="7FABEB7C" w14:textId="77777777" w:rsidR="003D51B6" w:rsidRPr="003D51B6" w:rsidRDefault="003D51B6" w:rsidP="003D51B6">
      <w:pPr>
        <w:jc w:val="both"/>
        <w:rPr>
          <w:rFonts w:ascii="Arial" w:hAnsi="Arial" w:cs="Arial"/>
          <w:b/>
          <w:lang w:val="en-ZA"/>
        </w:rPr>
      </w:pPr>
    </w:p>
    <w:p w14:paraId="0175E7D1" w14:textId="77777777" w:rsidR="003D51B6" w:rsidRPr="003D51B6" w:rsidRDefault="003D51B6" w:rsidP="003D51B6">
      <w:pPr>
        <w:jc w:val="both"/>
        <w:rPr>
          <w:rFonts w:ascii="Arial" w:hAnsi="Arial" w:cs="Arial"/>
          <w:b/>
          <w:lang w:val="en-ZA"/>
        </w:rPr>
      </w:pPr>
    </w:p>
    <w:p w14:paraId="234AE278" w14:textId="77777777" w:rsidR="003D51B6" w:rsidRPr="003D51B6" w:rsidRDefault="003D51B6" w:rsidP="003D51B6">
      <w:pPr>
        <w:jc w:val="both"/>
        <w:rPr>
          <w:rFonts w:ascii="Arial" w:hAnsi="Arial" w:cs="Arial"/>
          <w:b/>
          <w:lang w:val="en-ZA"/>
        </w:rPr>
      </w:pPr>
      <w:r w:rsidRPr="003D51B6">
        <w:rPr>
          <w:rFonts w:ascii="Arial" w:hAnsi="Arial" w:cs="Arial"/>
          <w:b/>
          <w:lang w:val="en-ZA"/>
        </w:rPr>
        <w:t>__________________</w:t>
      </w:r>
    </w:p>
    <w:p w14:paraId="120D4C93" w14:textId="77777777" w:rsidR="00EB3A93" w:rsidRPr="003D51B6" w:rsidRDefault="00EB3A93" w:rsidP="00EB3A93">
      <w:pPr>
        <w:jc w:val="both"/>
        <w:rPr>
          <w:rFonts w:ascii="Arial" w:hAnsi="Arial" w:cs="Arial"/>
          <w:b/>
          <w:lang w:val="en-ZA"/>
        </w:rPr>
      </w:pPr>
      <w:r w:rsidRPr="003D51B6">
        <w:rPr>
          <w:rFonts w:ascii="Arial" w:hAnsi="Arial" w:cs="Arial"/>
          <w:b/>
          <w:lang w:val="en-ZA"/>
        </w:rPr>
        <w:t>FRANK AJA</w:t>
      </w:r>
    </w:p>
    <w:p w14:paraId="1FD77496" w14:textId="77777777" w:rsidR="003D51B6" w:rsidRPr="003D51B6" w:rsidRDefault="003D51B6" w:rsidP="003D51B6">
      <w:pPr>
        <w:jc w:val="both"/>
        <w:rPr>
          <w:rFonts w:ascii="Arial" w:hAnsi="Arial" w:cs="Arial"/>
          <w:b/>
          <w:lang w:val="en-ZA"/>
        </w:rPr>
      </w:pPr>
    </w:p>
    <w:p w14:paraId="27A05C0C" w14:textId="77777777" w:rsidR="003D51B6" w:rsidRPr="003D51B6" w:rsidRDefault="003D51B6" w:rsidP="003D51B6">
      <w:pPr>
        <w:jc w:val="both"/>
        <w:rPr>
          <w:rFonts w:ascii="Arial" w:hAnsi="Arial" w:cs="Arial"/>
          <w:b/>
          <w:lang w:val="en-ZA"/>
        </w:rPr>
      </w:pPr>
    </w:p>
    <w:p w14:paraId="4DF8075F" w14:textId="77777777" w:rsidR="003D51B6" w:rsidRPr="003D51B6" w:rsidRDefault="003D51B6" w:rsidP="003D51B6">
      <w:pPr>
        <w:jc w:val="both"/>
        <w:rPr>
          <w:rFonts w:ascii="Arial" w:hAnsi="Arial" w:cs="Arial"/>
          <w:b/>
          <w:lang w:val="en-ZA"/>
        </w:rPr>
      </w:pPr>
    </w:p>
    <w:p w14:paraId="3F3FA2E3" w14:textId="77777777" w:rsidR="003D51B6" w:rsidRPr="003D51B6" w:rsidRDefault="003D51B6" w:rsidP="003D51B6">
      <w:pPr>
        <w:jc w:val="both"/>
        <w:rPr>
          <w:rFonts w:ascii="Arial" w:hAnsi="Arial" w:cs="Arial"/>
          <w:b/>
          <w:lang w:val="en-ZA"/>
        </w:rPr>
      </w:pPr>
    </w:p>
    <w:p w14:paraId="0758B8AF" w14:textId="77777777" w:rsidR="003D51B6" w:rsidRPr="003D51B6" w:rsidRDefault="003D51B6" w:rsidP="003D51B6">
      <w:pPr>
        <w:jc w:val="both"/>
        <w:rPr>
          <w:rFonts w:ascii="Arial" w:hAnsi="Arial" w:cs="Arial"/>
          <w:b/>
          <w:lang w:val="en-ZA"/>
        </w:rPr>
      </w:pPr>
    </w:p>
    <w:p w14:paraId="71B1B95C" w14:textId="77777777" w:rsidR="003D51B6" w:rsidRPr="003D51B6" w:rsidRDefault="003D51B6" w:rsidP="003D51B6">
      <w:pPr>
        <w:jc w:val="both"/>
        <w:rPr>
          <w:rFonts w:ascii="Arial" w:hAnsi="Arial" w:cs="Arial"/>
          <w:b/>
          <w:lang w:val="en-ZA"/>
        </w:rPr>
      </w:pPr>
    </w:p>
    <w:p w14:paraId="4A20E992" w14:textId="77777777" w:rsidR="003D51B6" w:rsidRPr="003D51B6" w:rsidRDefault="003D51B6" w:rsidP="003D51B6">
      <w:pPr>
        <w:jc w:val="both"/>
        <w:rPr>
          <w:rFonts w:ascii="Arial" w:hAnsi="Arial" w:cs="Arial"/>
          <w:b/>
          <w:lang w:val="en-ZA"/>
        </w:rPr>
      </w:pPr>
      <w:r w:rsidRPr="003D51B6">
        <w:rPr>
          <w:rFonts w:ascii="Arial" w:hAnsi="Arial" w:cs="Arial"/>
          <w:b/>
          <w:lang w:val="en-ZA"/>
        </w:rPr>
        <w:t>__________________</w:t>
      </w:r>
    </w:p>
    <w:p w14:paraId="6BAD5649" w14:textId="77777777" w:rsidR="003D51B6" w:rsidRPr="003D51B6" w:rsidRDefault="003D51B6" w:rsidP="003D51B6">
      <w:pPr>
        <w:autoSpaceDE w:val="0"/>
        <w:autoSpaceDN w:val="0"/>
        <w:adjustRightInd w:val="0"/>
        <w:spacing w:line="480" w:lineRule="auto"/>
        <w:jc w:val="both"/>
        <w:rPr>
          <w:rFonts w:ascii="Arial" w:eastAsia="Times New Roman" w:hAnsi="Arial" w:cs="Arial"/>
          <w:b/>
        </w:rPr>
      </w:pPr>
      <w:r w:rsidRPr="003D51B6">
        <w:rPr>
          <w:rFonts w:ascii="Arial" w:eastAsia="Times New Roman" w:hAnsi="Arial" w:cs="Arial"/>
          <w:b/>
        </w:rPr>
        <w:t>UEITELE AJA</w:t>
      </w:r>
    </w:p>
    <w:p w14:paraId="4E811FA1" w14:textId="4AA750A9" w:rsidR="003D51B6" w:rsidRPr="003D51B6" w:rsidRDefault="0066680F" w:rsidP="0066680F">
      <w:pPr>
        <w:rPr>
          <w:rFonts w:ascii="Arial" w:eastAsia="Times New Roman" w:hAnsi="Arial" w:cs="Arial"/>
        </w:rPr>
      </w:pPr>
      <w:r>
        <w:rPr>
          <w:rFonts w:ascii="Arial" w:eastAsia="Times New Roman" w:hAnsi="Arial" w:cs="Arial"/>
        </w:rPr>
        <w:br w:type="page"/>
      </w:r>
    </w:p>
    <w:p w14:paraId="2B67FFAE" w14:textId="77777777" w:rsidR="003D51B6" w:rsidRPr="003D51B6" w:rsidRDefault="003D51B6" w:rsidP="003D51B6">
      <w:pPr>
        <w:autoSpaceDE w:val="0"/>
        <w:autoSpaceDN w:val="0"/>
        <w:adjustRightInd w:val="0"/>
        <w:spacing w:line="480" w:lineRule="auto"/>
        <w:jc w:val="both"/>
        <w:rPr>
          <w:rFonts w:ascii="Arial" w:eastAsia="Times New Roman" w:hAnsi="Arial" w:cs="Arial"/>
        </w:rPr>
      </w:pPr>
      <w:r w:rsidRPr="003D51B6">
        <w:rPr>
          <w:rFonts w:ascii="Arial" w:eastAsia="Times New Roman" w:hAnsi="Arial" w:cs="Arial"/>
        </w:rPr>
        <w:t>APPEARANCES</w:t>
      </w:r>
    </w:p>
    <w:p w14:paraId="4FC888DB" w14:textId="77777777" w:rsidR="003D51B6" w:rsidRPr="003D51B6" w:rsidRDefault="003D51B6" w:rsidP="003D51B6">
      <w:pPr>
        <w:autoSpaceDE w:val="0"/>
        <w:autoSpaceDN w:val="0"/>
        <w:adjustRightInd w:val="0"/>
        <w:spacing w:line="480" w:lineRule="auto"/>
        <w:jc w:val="both"/>
        <w:rPr>
          <w:rFonts w:ascii="Arial" w:eastAsia="Times New Roman" w:hAnsi="Arial"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08"/>
      </w:tblGrid>
      <w:tr w:rsidR="003D51B6" w:rsidRPr="003D51B6" w14:paraId="2FBB2064" w14:textId="77777777" w:rsidTr="00E67470">
        <w:tc>
          <w:tcPr>
            <w:tcW w:w="4555" w:type="dxa"/>
          </w:tcPr>
          <w:p w14:paraId="5B3720CF" w14:textId="2DB62BD3" w:rsidR="003D51B6" w:rsidRPr="003D51B6" w:rsidRDefault="00FB42E1" w:rsidP="003D51B6">
            <w:pPr>
              <w:autoSpaceDE w:val="0"/>
              <w:autoSpaceDN w:val="0"/>
              <w:adjustRightInd w:val="0"/>
              <w:spacing w:line="480" w:lineRule="auto"/>
              <w:ind w:left="-108"/>
              <w:jc w:val="both"/>
              <w:rPr>
                <w:rFonts w:ascii="Arial" w:eastAsia="Times New Roman" w:hAnsi="Arial" w:cs="Arial"/>
                <w:sz w:val="24"/>
                <w:szCs w:val="24"/>
              </w:rPr>
            </w:pPr>
            <w:r>
              <w:rPr>
                <w:rFonts w:ascii="Arial" w:eastAsia="Times New Roman" w:hAnsi="Arial" w:cs="Arial"/>
                <w:sz w:val="24"/>
                <w:szCs w:val="24"/>
              </w:rPr>
              <w:t>1</w:t>
            </w:r>
            <w:r w:rsidRPr="00FB42E1">
              <w:rPr>
                <w:rFonts w:ascii="Arial" w:eastAsia="Times New Roman" w:hAnsi="Arial" w:cs="Arial"/>
                <w:sz w:val="24"/>
                <w:szCs w:val="24"/>
                <w:vertAlign w:val="superscript"/>
              </w:rPr>
              <w:t>st</w:t>
            </w:r>
            <w:r>
              <w:rPr>
                <w:rFonts w:ascii="Arial" w:eastAsia="Times New Roman" w:hAnsi="Arial" w:cs="Arial"/>
                <w:sz w:val="24"/>
                <w:szCs w:val="24"/>
              </w:rPr>
              <w:t xml:space="preserve"> </w:t>
            </w:r>
            <w:r w:rsidR="003D51B6" w:rsidRPr="003D51B6">
              <w:rPr>
                <w:rFonts w:ascii="Arial" w:eastAsia="Times New Roman" w:hAnsi="Arial" w:cs="Arial"/>
                <w:sz w:val="24"/>
                <w:szCs w:val="24"/>
              </w:rPr>
              <w:t>APPELLANT:</w:t>
            </w:r>
          </w:p>
        </w:tc>
        <w:tc>
          <w:tcPr>
            <w:tcW w:w="4556" w:type="dxa"/>
          </w:tcPr>
          <w:p w14:paraId="6CF28A93" w14:textId="7462D030" w:rsidR="003D51B6" w:rsidRPr="003D51B6" w:rsidRDefault="00032C14" w:rsidP="00EB3A93">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R</w:t>
            </w:r>
            <w:r w:rsidR="005B3F67">
              <w:rPr>
                <w:rFonts w:ascii="Arial" w:eastAsia="Times New Roman" w:hAnsi="Arial" w:cs="Arial"/>
                <w:sz w:val="24"/>
                <w:szCs w:val="24"/>
              </w:rPr>
              <w:t xml:space="preserve"> Heathco</w:t>
            </w:r>
            <w:r w:rsidR="00D46C4C">
              <w:rPr>
                <w:rFonts w:ascii="Arial" w:eastAsia="Times New Roman" w:hAnsi="Arial" w:cs="Arial"/>
                <w:sz w:val="24"/>
                <w:szCs w:val="24"/>
              </w:rPr>
              <w:t>te</w:t>
            </w:r>
            <w:r w:rsidR="003D51B6" w:rsidRPr="003D51B6">
              <w:rPr>
                <w:rFonts w:ascii="Arial" w:eastAsia="Times New Roman" w:hAnsi="Arial" w:cs="Arial"/>
                <w:sz w:val="24"/>
                <w:szCs w:val="24"/>
              </w:rPr>
              <w:t xml:space="preserve"> (with him </w:t>
            </w:r>
            <w:r w:rsidR="00EB3A93" w:rsidRPr="00C96613">
              <w:rPr>
                <w:rFonts w:ascii="Arial" w:eastAsia="Times New Roman" w:hAnsi="Arial" w:cs="Arial"/>
                <w:sz w:val="24"/>
                <w:szCs w:val="24"/>
              </w:rPr>
              <w:t>CJ Van Zyl</w:t>
            </w:r>
            <w:r w:rsidR="003D51B6" w:rsidRPr="003D51B6">
              <w:rPr>
                <w:rFonts w:ascii="Arial" w:eastAsia="Times New Roman" w:hAnsi="Arial" w:cs="Arial"/>
                <w:sz w:val="24"/>
                <w:szCs w:val="24"/>
              </w:rPr>
              <w:t>)</w:t>
            </w:r>
          </w:p>
        </w:tc>
      </w:tr>
      <w:tr w:rsidR="003D51B6" w:rsidRPr="003D51B6" w14:paraId="766C9AAF" w14:textId="77777777" w:rsidTr="00E67470">
        <w:tc>
          <w:tcPr>
            <w:tcW w:w="4555" w:type="dxa"/>
          </w:tcPr>
          <w:p w14:paraId="38D660E3" w14:textId="77777777" w:rsidR="003D51B6" w:rsidRPr="003D51B6" w:rsidRDefault="003D51B6" w:rsidP="003D51B6">
            <w:pPr>
              <w:autoSpaceDE w:val="0"/>
              <w:autoSpaceDN w:val="0"/>
              <w:adjustRightInd w:val="0"/>
              <w:spacing w:line="480" w:lineRule="auto"/>
              <w:ind w:left="-108"/>
              <w:jc w:val="both"/>
              <w:rPr>
                <w:rFonts w:ascii="Arial" w:eastAsia="Times New Roman" w:hAnsi="Arial" w:cs="Arial"/>
                <w:sz w:val="24"/>
                <w:szCs w:val="24"/>
              </w:rPr>
            </w:pPr>
          </w:p>
        </w:tc>
        <w:tc>
          <w:tcPr>
            <w:tcW w:w="4556" w:type="dxa"/>
          </w:tcPr>
          <w:p w14:paraId="134FC606" w14:textId="24E55803" w:rsidR="003D51B6" w:rsidRPr="003D51B6" w:rsidRDefault="003D51B6" w:rsidP="003900F8">
            <w:pPr>
              <w:autoSpaceDE w:val="0"/>
              <w:autoSpaceDN w:val="0"/>
              <w:adjustRightInd w:val="0"/>
              <w:spacing w:line="480" w:lineRule="auto"/>
              <w:jc w:val="both"/>
              <w:rPr>
                <w:rFonts w:ascii="Arial" w:eastAsia="Times New Roman" w:hAnsi="Arial" w:cs="Arial"/>
                <w:sz w:val="24"/>
                <w:szCs w:val="24"/>
              </w:rPr>
            </w:pPr>
            <w:r w:rsidRPr="003D51B6">
              <w:rPr>
                <w:rFonts w:ascii="Arial" w:eastAsia="Times New Roman" w:hAnsi="Arial" w:cs="Arial"/>
                <w:sz w:val="24"/>
                <w:szCs w:val="24"/>
              </w:rPr>
              <w:t xml:space="preserve">Instructed by </w:t>
            </w:r>
            <w:r w:rsidR="003900F8" w:rsidRPr="00C96613">
              <w:rPr>
                <w:rFonts w:ascii="Arial" w:eastAsia="Times New Roman" w:hAnsi="Arial" w:cs="Arial"/>
                <w:sz w:val="24"/>
                <w:szCs w:val="24"/>
              </w:rPr>
              <w:t>Francois Erasmus and Partners</w:t>
            </w:r>
          </w:p>
        </w:tc>
      </w:tr>
      <w:tr w:rsidR="003D51B6" w:rsidRPr="003D51B6" w14:paraId="6576B562" w14:textId="77777777" w:rsidTr="00E67470">
        <w:tc>
          <w:tcPr>
            <w:tcW w:w="4555" w:type="dxa"/>
          </w:tcPr>
          <w:p w14:paraId="3F7728DB" w14:textId="77777777" w:rsidR="003D51B6" w:rsidRPr="003D51B6" w:rsidRDefault="003D51B6" w:rsidP="003D51B6">
            <w:pPr>
              <w:autoSpaceDE w:val="0"/>
              <w:autoSpaceDN w:val="0"/>
              <w:adjustRightInd w:val="0"/>
              <w:spacing w:line="480" w:lineRule="auto"/>
              <w:ind w:left="-108"/>
              <w:jc w:val="both"/>
              <w:rPr>
                <w:rFonts w:ascii="Arial" w:eastAsia="Times New Roman" w:hAnsi="Arial" w:cs="Arial"/>
                <w:sz w:val="24"/>
                <w:szCs w:val="24"/>
              </w:rPr>
            </w:pPr>
          </w:p>
        </w:tc>
        <w:tc>
          <w:tcPr>
            <w:tcW w:w="4556" w:type="dxa"/>
          </w:tcPr>
          <w:p w14:paraId="59672802" w14:textId="77777777" w:rsidR="003D51B6" w:rsidRPr="003D51B6" w:rsidRDefault="003D51B6" w:rsidP="003D51B6">
            <w:pPr>
              <w:autoSpaceDE w:val="0"/>
              <w:autoSpaceDN w:val="0"/>
              <w:adjustRightInd w:val="0"/>
              <w:spacing w:line="480" w:lineRule="auto"/>
              <w:jc w:val="both"/>
              <w:rPr>
                <w:rFonts w:ascii="Arial" w:eastAsia="Times New Roman" w:hAnsi="Arial" w:cs="Arial"/>
                <w:sz w:val="24"/>
                <w:szCs w:val="24"/>
              </w:rPr>
            </w:pPr>
          </w:p>
        </w:tc>
      </w:tr>
      <w:tr w:rsidR="003D51B6" w:rsidRPr="003D51B6" w14:paraId="63836EE2" w14:textId="77777777" w:rsidTr="00E67470">
        <w:tc>
          <w:tcPr>
            <w:tcW w:w="4555" w:type="dxa"/>
          </w:tcPr>
          <w:p w14:paraId="16195695" w14:textId="77777777" w:rsidR="003D51B6" w:rsidRPr="003D51B6" w:rsidRDefault="003D51B6" w:rsidP="003D51B6">
            <w:pPr>
              <w:autoSpaceDE w:val="0"/>
              <w:autoSpaceDN w:val="0"/>
              <w:adjustRightInd w:val="0"/>
              <w:spacing w:line="480" w:lineRule="auto"/>
              <w:ind w:left="-108"/>
              <w:jc w:val="both"/>
              <w:rPr>
                <w:rFonts w:ascii="Arial" w:eastAsia="Times New Roman" w:hAnsi="Arial" w:cs="Arial"/>
                <w:sz w:val="24"/>
                <w:szCs w:val="24"/>
              </w:rPr>
            </w:pPr>
          </w:p>
        </w:tc>
        <w:tc>
          <w:tcPr>
            <w:tcW w:w="4556" w:type="dxa"/>
          </w:tcPr>
          <w:p w14:paraId="651B4DC5" w14:textId="77777777" w:rsidR="003D51B6" w:rsidRPr="003D51B6" w:rsidRDefault="003D51B6" w:rsidP="003D51B6">
            <w:pPr>
              <w:autoSpaceDE w:val="0"/>
              <w:autoSpaceDN w:val="0"/>
              <w:adjustRightInd w:val="0"/>
              <w:spacing w:line="480" w:lineRule="auto"/>
              <w:jc w:val="both"/>
              <w:rPr>
                <w:rFonts w:ascii="Arial" w:eastAsia="Times New Roman" w:hAnsi="Arial" w:cs="Arial"/>
                <w:sz w:val="24"/>
                <w:szCs w:val="24"/>
              </w:rPr>
            </w:pPr>
          </w:p>
        </w:tc>
      </w:tr>
      <w:tr w:rsidR="003D51B6" w:rsidRPr="003D51B6" w14:paraId="7FF53275" w14:textId="77777777" w:rsidTr="00E67470">
        <w:tc>
          <w:tcPr>
            <w:tcW w:w="4555" w:type="dxa"/>
          </w:tcPr>
          <w:p w14:paraId="4441B8A8" w14:textId="77777777" w:rsidR="003D51B6" w:rsidRPr="003D51B6" w:rsidRDefault="003D51B6" w:rsidP="003D51B6">
            <w:pPr>
              <w:autoSpaceDE w:val="0"/>
              <w:autoSpaceDN w:val="0"/>
              <w:adjustRightInd w:val="0"/>
              <w:spacing w:line="480" w:lineRule="auto"/>
              <w:ind w:left="-108"/>
              <w:jc w:val="both"/>
              <w:rPr>
                <w:rFonts w:ascii="Arial" w:eastAsia="Times New Roman" w:hAnsi="Arial" w:cs="Arial"/>
                <w:sz w:val="24"/>
                <w:szCs w:val="24"/>
              </w:rPr>
            </w:pPr>
            <w:r w:rsidRPr="003D51B6">
              <w:rPr>
                <w:rFonts w:ascii="Arial" w:eastAsia="Times New Roman" w:hAnsi="Arial" w:cs="Arial"/>
                <w:sz w:val="24"/>
                <w:szCs w:val="24"/>
              </w:rPr>
              <w:t>RESPONDENT:</w:t>
            </w:r>
          </w:p>
        </w:tc>
        <w:tc>
          <w:tcPr>
            <w:tcW w:w="4556" w:type="dxa"/>
          </w:tcPr>
          <w:p w14:paraId="2855D5BB" w14:textId="2F764712" w:rsidR="003D51B6" w:rsidRPr="003D51B6" w:rsidRDefault="00032C14" w:rsidP="00EB3A93">
            <w:pPr>
              <w:autoSpaceDE w:val="0"/>
              <w:autoSpaceDN w:val="0"/>
              <w:adjustRightInd w:val="0"/>
              <w:spacing w:line="480" w:lineRule="auto"/>
              <w:jc w:val="both"/>
              <w:rPr>
                <w:rFonts w:ascii="Arial" w:eastAsia="Times New Roman" w:hAnsi="Arial" w:cs="Arial"/>
                <w:sz w:val="24"/>
                <w:szCs w:val="24"/>
              </w:rPr>
            </w:pPr>
            <w:r>
              <w:rPr>
                <w:rFonts w:ascii="Arial" w:eastAsia="Times New Roman" w:hAnsi="Arial" w:cs="Arial"/>
                <w:sz w:val="24"/>
                <w:szCs w:val="24"/>
              </w:rPr>
              <w:t>j</w:t>
            </w:r>
            <w:r w:rsidR="00EB3A93" w:rsidRPr="00C96613">
              <w:rPr>
                <w:rFonts w:ascii="Arial" w:eastAsia="Times New Roman" w:hAnsi="Arial" w:cs="Arial"/>
                <w:sz w:val="24"/>
                <w:szCs w:val="24"/>
              </w:rPr>
              <w:t>P Ravenscroft-Jones</w:t>
            </w:r>
          </w:p>
        </w:tc>
      </w:tr>
      <w:tr w:rsidR="003D51B6" w:rsidRPr="003D51B6" w14:paraId="25D738B0" w14:textId="77777777" w:rsidTr="00E67470">
        <w:tc>
          <w:tcPr>
            <w:tcW w:w="4555" w:type="dxa"/>
          </w:tcPr>
          <w:p w14:paraId="7C9DB64D" w14:textId="77777777" w:rsidR="003D51B6" w:rsidRPr="003D51B6" w:rsidRDefault="003D51B6" w:rsidP="003D51B6">
            <w:pPr>
              <w:autoSpaceDE w:val="0"/>
              <w:autoSpaceDN w:val="0"/>
              <w:adjustRightInd w:val="0"/>
              <w:spacing w:line="480" w:lineRule="auto"/>
              <w:ind w:left="-108"/>
              <w:jc w:val="both"/>
              <w:rPr>
                <w:rFonts w:ascii="Arial" w:eastAsia="Times New Roman" w:hAnsi="Arial" w:cs="Arial"/>
                <w:sz w:val="24"/>
                <w:szCs w:val="24"/>
              </w:rPr>
            </w:pPr>
          </w:p>
        </w:tc>
        <w:tc>
          <w:tcPr>
            <w:tcW w:w="4556" w:type="dxa"/>
          </w:tcPr>
          <w:p w14:paraId="4967954B" w14:textId="59267DD7" w:rsidR="003D51B6" w:rsidRPr="003D51B6" w:rsidRDefault="003900F8" w:rsidP="003D51B6">
            <w:pPr>
              <w:autoSpaceDE w:val="0"/>
              <w:autoSpaceDN w:val="0"/>
              <w:adjustRightInd w:val="0"/>
              <w:spacing w:line="480" w:lineRule="auto"/>
              <w:jc w:val="both"/>
              <w:rPr>
                <w:rFonts w:ascii="Arial" w:eastAsia="Times New Roman" w:hAnsi="Arial" w:cs="Arial"/>
                <w:sz w:val="24"/>
                <w:szCs w:val="24"/>
              </w:rPr>
            </w:pPr>
            <w:r w:rsidRPr="00C96613">
              <w:rPr>
                <w:rFonts w:ascii="Arial" w:eastAsia="Times New Roman" w:hAnsi="Arial" w:cs="Arial"/>
                <w:sz w:val="24"/>
                <w:szCs w:val="24"/>
              </w:rPr>
              <w:t>Instructed by Theunissen, Louw and Partners</w:t>
            </w:r>
            <w:r>
              <w:rPr>
                <w:rFonts w:ascii="Arial" w:eastAsia="Times New Roman" w:hAnsi="Arial" w:cs="Arial"/>
                <w:sz w:val="24"/>
                <w:szCs w:val="24"/>
              </w:rPr>
              <w:t xml:space="preserve"> </w:t>
            </w:r>
          </w:p>
        </w:tc>
      </w:tr>
    </w:tbl>
    <w:p w14:paraId="3085693B" w14:textId="77777777" w:rsidR="00E67470" w:rsidRPr="00ED541E" w:rsidRDefault="00E67470" w:rsidP="00EB3A93">
      <w:pPr>
        <w:spacing w:line="480" w:lineRule="auto"/>
      </w:pPr>
    </w:p>
    <w:sectPr w:rsidR="00E67470" w:rsidRPr="00ED541E" w:rsidSect="00B61C44">
      <w:head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A0CAC" w14:textId="77777777" w:rsidR="006306BD" w:rsidRDefault="006306BD" w:rsidP="003C2284">
      <w:r>
        <w:separator/>
      </w:r>
    </w:p>
  </w:endnote>
  <w:endnote w:type="continuationSeparator" w:id="0">
    <w:p w14:paraId="5A148B7F" w14:textId="77777777" w:rsidR="006306BD" w:rsidRDefault="006306BD" w:rsidP="003C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6F65A" w14:textId="77777777" w:rsidR="006306BD" w:rsidRDefault="006306BD" w:rsidP="003C2284">
      <w:r>
        <w:separator/>
      </w:r>
    </w:p>
  </w:footnote>
  <w:footnote w:type="continuationSeparator" w:id="0">
    <w:p w14:paraId="2A581053" w14:textId="77777777" w:rsidR="006306BD" w:rsidRDefault="006306BD" w:rsidP="003C2284">
      <w:r>
        <w:continuationSeparator/>
      </w:r>
    </w:p>
  </w:footnote>
  <w:footnote w:id="1">
    <w:p w14:paraId="03C655D5" w14:textId="64902B82" w:rsidR="00DC3BD6" w:rsidRPr="00F211B3" w:rsidRDefault="00DC3BD6" w:rsidP="00F211B3">
      <w:pPr>
        <w:pStyle w:val="FootnoteText"/>
        <w:jc w:val="both"/>
        <w:rPr>
          <w:rFonts w:ascii="Arial" w:hAnsi="Arial" w:cs="Arial"/>
          <w:lang w:val="en-ZA"/>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lang w:val="en-US"/>
        </w:rPr>
        <w:t>He was cited as second defendant in the High Court proceedings.</w:t>
      </w:r>
    </w:p>
  </w:footnote>
  <w:footnote w:id="2">
    <w:p w14:paraId="1C149A37" w14:textId="4A9F3200" w:rsidR="00DC3BD6" w:rsidRPr="00F211B3" w:rsidRDefault="00DC3BD6" w:rsidP="00F211B3">
      <w:pPr>
        <w:pStyle w:val="FootnoteText"/>
        <w:jc w:val="both"/>
        <w:rPr>
          <w:rFonts w:ascii="Arial" w:hAnsi="Arial" w:cs="Arial"/>
          <w:lang w:val="en-ZA"/>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lang w:val="en-US"/>
        </w:rPr>
        <w:t>Deeds Registries Act 47 of 1937.</w:t>
      </w:r>
    </w:p>
  </w:footnote>
  <w:footnote w:id="3">
    <w:p w14:paraId="47C5E5C9" w14:textId="77777777" w:rsidR="00DC3BD6" w:rsidRPr="00F211B3" w:rsidRDefault="00DC3BD6" w:rsidP="00F211B3">
      <w:pPr>
        <w:pStyle w:val="FootnoteText"/>
        <w:jc w:val="both"/>
        <w:rPr>
          <w:rFonts w:ascii="Arial" w:hAnsi="Arial" w:cs="Arial"/>
        </w:rPr>
      </w:pPr>
      <w:r w:rsidRPr="00F211B3">
        <w:rPr>
          <w:rStyle w:val="FootnoteReference"/>
          <w:rFonts w:ascii="Arial" w:hAnsi="Arial" w:cs="Arial"/>
        </w:rPr>
        <w:footnoteRef/>
      </w:r>
      <w:r w:rsidRPr="00F211B3">
        <w:rPr>
          <w:rFonts w:ascii="Arial" w:hAnsi="Arial" w:cs="Arial"/>
        </w:rPr>
        <w:t xml:space="preserve"> See section 10 of Act 14 of 1993.</w:t>
      </w:r>
    </w:p>
  </w:footnote>
  <w:footnote w:id="4">
    <w:p w14:paraId="4A54890E" w14:textId="77777777" w:rsidR="00DC3BD6" w:rsidRPr="00F211B3" w:rsidRDefault="00DC3BD6" w:rsidP="00F211B3">
      <w:pPr>
        <w:pStyle w:val="FootnoteText"/>
        <w:jc w:val="both"/>
        <w:rPr>
          <w:rFonts w:ascii="Arial" w:hAnsi="Arial" w:cs="Arial"/>
        </w:rPr>
      </w:pPr>
      <w:r w:rsidRPr="00F211B3">
        <w:rPr>
          <w:rStyle w:val="FootnoteReference"/>
          <w:rFonts w:ascii="Arial" w:hAnsi="Arial" w:cs="Arial"/>
        </w:rPr>
        <w:footnoteRef/>
      </w:r>
      <w:r w:rsidRPr="00F211B3">
        <w:rPr>
          <w:rFonts w:ascii="Arial" w:hAnsi="Arial" w:cs="Arial"/>
          <w:i/>
          <w:iCs/>
          <w:lang w:val="en-US"/>
        </w:rPr>
        <w:t>Makate v Vodacom Ltd</w:t>
      </w:r>
      <w:r w:rsidRPr="00F211B3">
        <w:rPr>
          <w:rFonts w:ascii="Arial" w:hAnsi="Arial" w:cs="Arial"/>
        </w:rPr>
        <w:t xml:space="preserve"> 2016 (4) SA 121 (CC).</w:t>
      </w:r>
    </w:p>
  </w:footnote>
  <w:footnote w:id="5">
    <w:p w14:paraId="22B4A39F" w14:textId="380F5CFF" w:rsidR="00DC3BD6" w:rsidRPr="00F211B3" w:rsidRDefault="00DC3BD6" w:rsidP="00F211B3">
      <w:pPr>
        <w:pStyle w:val="FootnoteText"/>
        <w:jc w:val="both"/>
        <w:rPr>
          <w:rFonts w:ascii="Arial" w:hAnsi="Arial" w:cs="Arial"/>
        </w:rPr>
      </w:pPr>
      <w:r w:rsidRPr="00F211B3">
        <w:rPr>
          <w:rStyle w:val="FootnoteReference"/>
          <w:rFonts w:ascii="Arial" w:hAnsi="Arial" w:cs="Arial"/>
        </w:rPr>
        <w:footnoteRef/>
      </w:r>
      <w:r w:rsidRPr="00F211B3">
        <w:rPr>
          <w:rFonts w:ascii="Arial" w:hAnsi="Arial" w:cs="Arial"/>
        </w:rPr>
        <w:t xml:space="preserve"> 2002 (1) SA 396 (SCA) at 411 B-J.</w:t>
      </w:r>
    </w:p>
  </w:footnote>
  <w:footnote w:id="6">
    <w:p w14:paraId="06F5DFBC" w14:textId="77777777" w:rsidR="00DC3BD6" w:rsidRPr="00F211B3" w:rsidRDefault="00DC3BD6" w:rsidP="00F211B3">
      <w:pPr>
        <w:pStyle w:val="FootnoteText"/>
        <w:jc w:val="both"/>
        <w:rPr>
          <w:rFonts w:ascii="Arial" w:hAnsi="Arial" w:cs="Arial"/>
        </w:rPr>
      </w:pPr>
      <w:r w:rsidRPr="00F211B3">
        <w:rPr>
          <w:rStyle w:val="FootnoteReference"/>
          <w:rFonts w:ascii="Arial" w:hAnsi="Arial" w:cs="Arial"/>
        </w:rPr>
        <w:footnoteRef/>
      </w:r>
      <w:r w:rsidRPr="00F211B3">
        <w:rPr>
          <w:rFonts w:ascii="Arial" w:hAnsi="Arial" w:cs="Arial"/>
        </w:rPr>
        <w:t xml:space="preserve"> At 411 par 25.</w:t>
      </w:r>
    </w:p>
  </w:footnote>
  <w:footnote w:id="7">
    <w:p w14:paraId="2194E207" w14:textId="186287B6" w:rsidR="00DC3BD6" w:rsidRPr="00F211B3" w:rsidRDefault="00DC3BD6" w:rsidP="00F211B3">
      <w:pPr>
        <w:pStyle w:val="FootnoteText"/>
        <w:jc w:val="both"/>
        <w:rPr>
          <w:rFonts w:ascii="Arial" w:hAnsi="Arial" w:cs="Arial"/>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i/>
          <w:iCs/>
        </w:rPr>
        <w:t>Offshore Development Co (Pty) Ltd v First National</w:t>
      </w:r>
      <w:r w:rsidRPr="00F211B3">
        <w:rPr>
          <w:rFonts w:ascii="Arial" w:hAnsi="Arial" w:cs="Arial"/>
          <w:i/>
          <w:iCs/>
          <w:lang w:val="en-US"/>
        </w:rPr>
        <w:t xml:space="preserve"> </w:t>
      </w:r>
      <w:r w:rsidRPr="00F211B3">
        <w:rPr>
          <w:rFonts w:ascii="Arial" w:hAnsi="Arial" w:cs="Arial"/>
          <w:i/>
          <w:iCs/>
        </w:rPr>
        <w:t>Bank of Namibia Ltd</w:t>
      </w:r>
      <w:r>
        <w:rPr>
          <w:rFonts w:ascii="Arial" w:hAnsi="Arial" w:cs="Arial"/>
        </w:rPr>
        <w:t xml:space="preserve"> 2014 (4) NR 1198 (HC) para 20</w:t>
      </w:r>
      <w:r w:rsidRPr="00F211B3">
        <w:rPr>
          <w:rFonts w:ascii="Arial" w:hAnsi="Arial" w:cs="Arial"/>
        </w:rPr>
        <w:t>.</w:t>
      </w:r>
    </w:p>
  </w:footnote>
  <w:footnote w:id="8">
    <w:p w14:paraId="454EE2C3" w14:textId="7FDDFFEA"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145FED">
        <w:rPr>
          <w:rFonts w:ascii="Arial" w:hAnsi="Arial" w:cs="Arial"/>
          <w:bCs/>
          <w:i/>
        </w:rPr>
        <w:t>Rama Corporation Ltd</w:t>
      </w:r>
      <w:r w:rsidRPr="00145FED">
        <w:rPr>
          <w:rFonts w:ascii="Arial" w:hAnsi="Arial" w:cs="Arial"/>
          <w:i/>
        </w:rPr>
        <w:t> </w:t>
      </w:r>
      <w:r>
        <w:rPr>
          <w:rFonts w:ascii="Arial" w:hAnsi="Arial" w:cs="Arial"/>
          <w:bCs/>
          <w:i/>
        </w:rPr>
        <w:t xml:space="preserve">v </w:t>
      </w:r>
      <w:r w:rsidRPr="00145FED">
        <w:rPr>
          <w:rFonts w:ascii="Arial" w:hAnsi="Arial" w:cs="Arial"/>
          <w:bCs/>
          <w:i/>
        </w:rPr>
        <w:t>Proved Tin &amp; General Investments Ltd</w:t>
      </w:r>
      <w:r w:rsidRPr="00145FED">
        <w:rPr>
          <w:rFonts w:ascii="Arial" w:hAnsi="Arial" w:cs="Arial"/>
          <w:i/>
        </w:rPr>
        <w:t xml:space="preserve"> </w:t>
      </w:r>
      <w:r w:rsidRPr="00145FED">
        <w:rPr>
          <w:rFonts w:ascii="Arial" w:hAnsi="Arial" w:cs="Arial"/>
        </w:rPr>
        <w:t>(</w:t>
      </w:r>
      <w:r w:rsidRPr="00145FED">
        <w:rPr>
          <w:rFonts w:ascii="Arial" w:hAnsi="Arial" w:cs="Arial"/>
          <w:bCs/>
        </w:rPr>
        <w:t>1952</w:t>
      </w:r>
      <w:r w:rsidRPr="00145FED">
        <w:rPr>
          <w:rFonts w:ascii="Arial" w:hAnsi="Arial" w:cs="Arial"/>
        </w:rPr>
        <w:t xml:space="preserve">) 2 Q.B. 147 </w:t>
      </w:r>
      <w:r w:rsidRPr="00145FED">
        <w:rPr>
          <w:rFonts w:ascii="Arial" w:hAnsi="Arial" w:cs="Arial"/>
          <w:lang w:val="en-US"/>
        </w:rPr>
        <w:t>at 149.</w:t>
      </w:r>
    </w:p>
  </w:footnote>
  <w:footnote w:id="9">
    <w:p w14:paraId="2121B0B3" w14:textId="40E20955"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145FED">
        <w:rPr>
          <w:rFonts w:ascii="Arial" w:hAnsi="Arial" w:cs="Arial"/>
          <w:i/>
          <w:lang w:val="en-US"/>
        </w:rPr>
        <w:t>Lawsa</w:t>
      </w:r>
      <w:r>
        <w:rPr>
          <w:rFonts w:ascii="Arial" w:hAnsi="Arial" w:cs="Arial"/>
          <w:lang w:val="en-US"/>
        </w:rPr>
        <w:t>, First Reissue Vol.4 Part 4</w:t>
      </w:r>
      <w:r w:rsidRPr="00F211B3">
        <w:rPr>
          <w:rFonts w:ascii="Arial" w:hAnsi="Arial" w:cs="Arial"/>
          <w:lang w:val="en-US"/>
        </w:rPr>
        <w:t xml:space="preserve"> para 181 and authorities cited at </w:t>
      </w:r>
      <w:r w:rsidRPr="000E275F">
        <w:rPr>
          <w:rFonts w:ascii="Arial" w:hAnsi="Arial" w:cs="Arial"/>
          <w:lang w:val="en-US"/>
        </w:rPr>
        <w:t>fn</w:t>
      </w:r>
      <w:r w:rsidRPr="00F211B3">
        <w:rPr>
          <w:rFonts w:ascii="Arial" w:hAnsi="Arial" w:cs="Arial"/>
          <w:lang w:val="en-US"/>
        </w:rPr>
        <w:t xml:space="preserve"> 8.</w:t>
      </w:r>
    </w:p>
  </w:footnote>
  <w:footnote w:id="10">
    <w:p w14:paraId="42CC4C63" w14:textId="0F26EC6A"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i/>
        </w:rPr>
        <w:t xml:space="preserve">British Royal Bank v </w:t>
      </w:r>
      <w:r w:rsidRPr="00F211B3">
        <w:rPr>
          <w:rFonts w:ascii="Arial" w:hAnsi="Arial" w:cs="Arial"/>
          <w:i/>
          <w:lang w:val="en-US"/>
        </w:rPr>
        <w:t>Turquand</w:t>
      </w:r>
      <w:r>
        <w:rPr>
          <w:rFonts w:ascii="Arial" w:hAnsi="Arial" w:cs="Arial"/>
          <w:lang w:val="en-US"/>
        </w:rPr>
        <w:t xml:space="preserve"> (1856) 6 E&amp;B</w:t>
      </w:r>
      <w:r w:rsidRPr="00F211B3">
        <w:rPr>
          <w:rFonts w:ascii="Arial" w:hAnsi="Arial" w:cs="Arial"/>
          <w:lang w:val="en-US"/>
        </w:rPr>
        <w:t xml:space="preserve"> 327.</w:t>
      </w:r>
    </w:p>
  </w:footnote>
  <w:footnote w:id="11">
    <w:p w14:paraId="295326BB" w14:textId="7D373311"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0E275F">
        <w:rPr>
          <w:rFonts w:ascii="Arial" w:hAnsi="Arial" w:cs="Arial"/>
          <w:i/>
          <w:lang w:val="en-US"/>
        </w:rPr>
        <w:t>Morris v Kanssen</w:t>
      </w:r>
      <w:r w:rsidRPr="00F211B3">
        <w:rPr>
          <w:rFonts w:ascii="Arial" w:hAnsi="Arial" w:cs="Arial"/>
          <w:lang w:val="en-US"/>
        </w:rPr>
        <w:t xml:space="preserve"> [1946] A</w:t>
      </w:r>
      <w:r>
        <w:rPr>
          <w:rFonts w:ascii="Arial" w:hAnsi="Arial" w:cs="Arial"/>
          <w:lang w:val="en-US"/>
        </w:rPr>
        <w:t>.</w:t>
      </w:r>
      <w:r w:rsidRPr="00F211B3">
        <w:rPr>
          <w:rFonts w:ascii="Arial" w:hAnsi="Arial" w:cs="Arial"/>
          <w:lang w:val="en-US"/>
        </w:rPr>
        <w:t>C</w:t>
      </w:r>
      <w:r>
        <w:rPr>
          <w:rFonts w:ascii="Arial" w:hAnsi="Arial" w:cs="Arial"/>
          <w:lang w:val="en-US"/>
        </w:rPr>
        <w:t>.</w:t>
      </w:r>
      <w:r w:rsidRPr="00F211B3">
        <w:rPr>
          <w:rFonts w:ascii="Arial" w:hAnsi="Arial" w:cs="Arial"/>
          <w:lang w:val="en-US"/>
        </w:rPr>
        <w:t xml:space="preserve"> 459 at 474.</w:t>
      </w:r>
    </w:p>
  </w:footnote>
  <w:footnote w:id="12">
    <w:p w14:paraId="0228D352" w14:textId="1891E691"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i/>
          <w:lang w:val="en-US"/>
        </w:rPr>
        <w:t>Houghton and Co v Northard, Lowe and Wills</w:t>
      </w:r>
      <w:r w:rsidRPr="00F211B3">
        <w:rPr>
          <w:rFonts w:ascii="Arial" w:hAnsi="Arial" w:cs="Arial"/>
          <w:lang w:val="en-US"/>
        </w:rPr>
        <w:t xml:space="preserve"> 1927 (1) K.B. 246 at 266-7; </w:t>
      </w:r>
      <w:r w:rsidRPr="00F211B3">
        <w:rPr>
          <w:rFonts w:ascii="Arial" w:hAnsi="Arial" w:cs="Arial"/>
          <w:i/>
          <w:lang w:val="en-US"/>
        </w:rPr>
        <w:t>Wolpert v Uitzight Properties (Pty) Ltd &amp; others</w:t>
      </w:r>
      <w:r w:rsidRPr="00F211B3">
        <w:rPr>
          <w:rFonts w:ascii="Arial" w:hAnsi="Arial" w:cs="Arial"/>
          <w:lang w:val="en-US"/>
        </w:rPr>
        <w:t xml:space="preserve"> 1961 (2) SA 257 (W) at 20.</w:t>
      </w:r>
    </w:p>
  </w:footnote>
  <w:footnote w:id="13">
    <w:p w14:paraId="126457F5" w14:textId="04DA77E4"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B2319B">
        <w:rPr>
          <w:rFonts w:ascii="Arial" w:hAnsi="Arial" w:cs="Arial"/>
          <w:i/>
          <w:lang w:val="en-US"/>
        </w:rPr>
        <w:t>Northside Developments Pty Ltd v Registrar general</w:t>
      </w:r>
      <w:r w:rsidRPr="00F211B3">
        <w:rPr>
          <w:rFonts w:ascii="Arial" w:hAnsi="Arial" w:cs="Arial"/>
          <w:lang w:val="en-US"/>
        </w:rPr>
        <w:t xml:space="preserve"> [1990] 170 CLR 146; [1993] ALR 385 cited with approval by Lord Neuberger in Hong Kong’s Court of Final Appeal in </w:t>
      </w:r>
      <w:r w:rsidRPr="00B2319B">
        <w:rPr>
          <w:rFonts w:ascii="Arial" w:hAnsi="Arial" w:cs="Arial"/>
          <w:i/>
          <w:lang w:val="en-US"/>
        </w:rPr>
        <w:t>Akai Holdings Ltd v Kasikornbank Public Co Ltd</w:t>
      </w:r>
      <w:r w:rsidRPr="00F211B3">
        <w:rPr>
          <w:rFonts w:ascii="Arial" w:hAnsi="Arial" w:cs="Arial"/>
          <w:lang w:val="en-US"/>
        </w:rPr>
        <w:t xml:space="preserve"> [2010] HKCFA 64; [2011] 1 HKC 357 para 59.</w:t>
      </w:r>
    </w:p>
  </w:footnote>
  <w:footnote w:id="14">
    <w:p w14:paraId="7ED73604" w14:textId="2C41B591"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lang w:val="en-US"/>
        </w:rPr>
        <w:t>[1927] 1 KB 246 at 266.</w:t>
      </w:r>
    </w:p>
  </w:footnote>
  <w:footnote w:id="15">
    <w:p w14:paraId="2EED8875" w14:textId="27B5EFA8"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Compare,</w:t>
      </w:r>
      <w:r w:rsidRPr="00F211B3">
        <w:rPr>
          <w:rFonts w:ascii="Arial" w:hAnsi="Arial" w:cs="Arial"/>
          <w:lang w:val="en-US"/>
        </w:rPr>
        <w:t xml:space="preserve"> for example, the different outcomes in </w:t>
      </w:r>
      <w:r w:rsidRPr="00F211B3">
        <w:rPr>
          <w:rFonts w:ascii="Arial" w:hAnsi="Arial" w:cs="Arial"/>
          <w:i/>
          <w:lang w:val="en-US"/>
        </w:rPr>
        <w:t>Insurance Trust and Invests (Pty) Ltd v Mudaliar</w:t>
      </w:r>
      <w:r w:rsidRPr="00F211B3">
        <w:rPr>
          <w:rFonts w:ascii="Arial" w:hAnsi="Arial" w:cs="Arial"/>
          <w:lang w:val="en-US"/>
        </w:rPr>
        <w:t xml:space="preserve"> 1943 NPD 45 and </w:t>
      </w:r>
      <w:r w:rsidRPr="00F211B3">
        <w:rPr>
          <w:rFonts w:ascii="Arial" w:hAnsi="Arial" w:cs="Arial"/>
          <w:i/>
          <w:lang w:val="en-US"/>
        </w:rPr>
        <w:t>The Mine Workers’ Union v JJ Prinsloo; The Mine Workers’ Union v Greyling</w:t>
      </w:r>
      <w:r w:rsidRPr="00F211B3">
        <w:rPr>
          <w:rFonts w:ascii="Arial" w:hAnsi="Arial" w:cs="Arial"/>
          <w:lang w:val="en-US"/>
        </w:rPr>
        <w:t xml:space="preserve"> 1948 (3) SA 831 (A</w:t>
      </w:r>
      <w:r w:rsidRPr="00AE1610">
        <w:rPr>
          <w:rFonts w:ascii="Arial" w:hAnsi="Arial" w:cs="Arial"/>
          <w:lang w:val="en-US"/>
        </w:rPr>
        <w:t xml:space="preserve">) (both referred to in </w:t>
      </w:r>
      <w:r w:rsidRPr="00AE1610">
        <w:rPr>
          <w:rFonts w:ascii="Arial" w:hAnsi="Arial" w:cs="Arial"/>
          <w:i/>
          <w:lang w:val="en-US"/>
        </w:rPr>
        <w:t>fn</w:t>
      </w:r>
      <w:r w:rsidR="00AE1610" w:rsidRPr="00AE1610">
        <w:rPr>
          <w:rFonts w:ascii="Arial" w:hAnsi="Arial" w:cs="Arial"/>
          <w:lang w:val="en-US"/>
        </w:rPr>
        <w:t xml:space="preserve"> 17</w:t>
      </w:r>
      <w:r w:rsidRPr="00AE1610">
        <w:rPr>
          <w:rFonts w:ascii="Arial" w:hAnsi="Arial" w:cs="Arial"/>
          <w:lang w:val="en-US"/>
        </w:rPr>
        <w:t xml:space="preserve"> below. </w:t>
      </w:r>
      <w:r w:rsidRPr="00AE1610">
        <w:rPr>
          <w:rFonts w:ascii="Arial" w:hAnsi="Arial" w:cs="Arial"/>
          <w:i/>
          <w:lang w:val="en-US"/>
        </w:rPr>
        <w:t>Mahomed v Ravat Bombay House (Pty) Ltd</w:t>
      </w:r>
      <w:r w:rsidRPr="00AE1610">
        <w:rPr>
          <w:rFonts w:ascii="Arial" w:hAnsi="Arial" w:cs="Arial"/>
          <w:lang w:val="en-US"/>
        </w:rPr>
        <w:t xml:space="preserve"> 1958 (4) SA 704 (T) is particularly difficult to reconcile with </w:t>
      </w:r>
      <w:r w:rsidRPr="00AE1610">
        <w:rPr>
          <w:rFonts w:ascii="Arial" w:hAnsi="Arial" w:cs="Arial"/>
          <w:i/>
          <w:lang w:val="en-US"/>
        </w:rPr>
        <w:t>Mudaliar</w:t>
      </w:r>
      <w:r w:rsidRPr="00AE1610">
        <w:rPr>
          <w:rFonts w:ascii="Arial" w:hAnsi="Arial" w:cs="Arial"/>
          <w:lang w:val="en-US"/>
        </w:rPr>
        <w:t xml:space="preserve"> (see </w:t>
      </w:r>
      <w:r w:rsidRPr="00AE1610">
        <w:rPr>
          <w:rFonts w:ascii="Arial" w:hAnsi="Arial" w:cs="Arial"/>
          <w:i/>
          <w:lang w:val="en-US"/>
        </w:rPr>
        <w:t xml:space="preserve">fn </w:t>
      </w:r>
      <w:r w:rsidR="00AE1610" w:rsidRPr="00AE1610">
        <w:rPr>
          <w:rFonts w:ascii="Arial" w:hAnsi="Arial" w:cs="Arial"/>
          <w:lang w:val="en-US"/>
        </w:rPr>
        <w:t>16</w:t>
      </w:r>
      <w:r w:rsidRPr="00AE1610">
        <w:rPr>
          <w:rFonts w:ascii="Arial" w:hAnsi="Arial" w:cs="Arial"/>
          <w:lang w:val="en-US"/>
        </w:rPr>
        <w:t xml:space="preserve"> below):</w:t>
      </w:r>
      <w:r w:rsidRPr="00F211B3">
        <w:rPr>
          <w:rFonts w:ascii="Arial" w:hAnsi="Arial" w:cs="Arial"/>
          <w:lang w:val="en-US"/>
        </w:rPr>
        <w:t xml:space="preserve"> In </w:t>
      </w:r>
      <w:r w:rsidRPr="00F211B3">
        <w:rPr>
          <w:rFonts w:ascii="Arial" w:hAnsi="Arial" w:cs="Arial"/>
          <w:i/>
          <w:lang w:val="en-US"/>
        </w:rPr>
        <w:t>Mahomed,</w:t>
      </w:r>
      <w:r w:rsidRPr="00F211B3">
        <w:rPr>
          <w:rFonts w:ascii="Arial" w:hAnsi="Arial" w:cs="Arial"/>
          <w:lang w:val="en-US"/>
        </w:rPr>
        <w:t xml:space="preserve"> the articles of association of the company required a prior board resolution to authorise a single director to bind the company. No such resolution was passed and a contract concluded by a single director was validated by the court. In </w:t>
      </w:r>
      <w:r w:rsidRPr="00F211B3">
        <w:rPr>
          <w:rFonts w:ascii="Arial" w:hAnsi="Arial" w:cs="Arial"/>
          <w:i/>
          <w:lang w:val="en-US"/>
        </w:rPr>
        <w:t>One Stop Financial Services (Pty) Ltd v Neffensaan Ontwikkelings (Pty) Ltd &amp; another</w:t>
      </w:r>
      <w:r w:rsidRPr="00F211B3">
        <w:rPr>
          <w:rFonts w:ascii="Arial" w:hAnsi="Arial" w:cs="Arial"/>
          <w:lang w:val="en-US"/>
        </w:rPr>
        <w:t xml:space="preserve"> 2015 (4) SA 263</w:t>
      </w:r>
      <w:r>
        <w:rPr>
          <w:rFonts w:ascii="Arial" w:hAnsi="Arial" w:cs="Arial"/>
          <w:lang w:val="en-US"/>
        </w:rPr>
        <w:t xml:space="preserve"> </w:t>
      </w:r>
      <w:r w:rsidRPr="00F211B3">
        <w:rPr>
          <w:rFonts w:ascii="Arial" w:hAnsi="Arial" w:cs="Arial"/>
          <w:lang w:val="en-US"/>
        </w:rPr>
        <w:t xml:space="preserve">(WCC) two directors concluded a loan agreement and a suretyship on behalf of the company while the company’s internal procedures required board resolutions to be signed by all directors and the approval of shareholders. The third director refuted any knowledge of the contracts and stated that no resolution was passed to authorise the transactions. The court voided the purported agreements rejecting reliance on </w:t>
      </w:r>
      <w:r w:rsidRPr="00B2319B">
        <w:rPr>
          <w:rFonts w:ascii="Arial" w:hAnsi="Arial" w:cs="Arial"/>
          <w:i/>
          <w:lang w:val="en-US"/>
        </w:rPr>
        <w:t>Turquand.</w:t>
      </w:r>
    </w:p>
  </w:footnote>
  <w:footnote w:id="16">
    <w:p w14:paraId="6998B97B" w14:textId="77777777"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In</w:t>
      </w:r>
      <w:r w:rsidRPr="00F211B3">
        <w:rPr>
          <w:rFonts w:ascii="Arial" w:hAnsi="Arial" w:cs="Arial"/>
          <w:i/>
          <w:lang w:val="en-US"/>
        </w:rPr>
        <w:t xml:space="preserve"> Mudaliar</w:t>
      </w:r>
      <w:r w:rsidRPr="00F211B3">
        <w:rPr>
          <w:rFonts w:ascii="Arial" w:hAnsi="Arial" w:cs="Arial"/>
          <w:lang w:val="en-US"/>
        </w:rPr>
        <w:t xml:space="preserve"> supra the articles of association of the company empowered the directors to decide who may sign on behalf of the company and a resolution was passed stating that promissory notes in the name of the company may be signed by any of its directors. The promissory note in dispute was signed by one director only. The company sought to avoid the promissory note and the third party in addition to estoppel raised a defence akin to the </w:t>
      </w:r>
      <w:r w:rsidRPr="00B2319B">
        <w:rPr>
          <w:rFonts w:ascii="Arial" w:hAnsi="Arial" w:cs="Arial"/>
          <w:i/>
          <w:lang w:val="en-US"/>
        </w:rPr>
        <w:t>Turquand</w:t>
      </w:r>
      <w:r w:rsidRPr="00F211B3">
        <w:rPr>
          <w:rFonts w:ascii="Arial" w:hAnsi="Arial" w:cs="Arial"/>
          <w:lang w:val="en-US"/>
        </w:rPr>
        <w:t xml:space="preserve"> rule. Because the instrument was not signed in compliance with the resolution, the court held that it was void. Yet, in </w:t>
      </w:r>
      <w:r w:rsidRPr="00F211B3">
        <w:rPr>
          <w:rFonts w:ascii="Arial" w:hAnsi="Arial" w:cs="Arial"/>
          <w:i/>
          <w:lang w:val="en-US"/>
        </w:rPr>
        <w:t>Mine Workers Union v Prinsloo</w:t>
      </w:r>
      <w:r w:rsidRPr="00F211B3">
        <w:rPr>
          <w:rFonts w:ascii="Arial" w:hAnsi="Arial" w:cs="Arial"/>
          <w:lang w:val="en-US"/>
        </w:rPr>
        <w:t xml:space="preserve"> supra the constitution of the union required the approval of the ‘General Council’ for the consummation of contracts of the kind in issue. The union’s president and general-secretary purported to act as its agents in concluding contracts and during the negotiations provided the third party a document (executed by the Executive Committee) purporting to authorise them to conclude the contracts on the union’s behalf. The Appellate Division held that the union was bound. </w:t>
      </w:r>
    </w:p>
  </w:footnote>
  <w:footnote w:id="17">
    <w:p w14:paraId="04FA9655" w14:textId="3133789F"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i/>
          <w:lang w:val="en-US"/>
        </w:rPr>
        <w:t>The Mine Workers' Union v JJ Prinsloo</w:t>
      </w:r>
      <w:r w:rsidRPr="00F211B3">
        <w:rPr>
          <w:rFonts w:ascii="Arial" w:hAnsi="Arial" w:cs="Arial"/>
          <w:lang w:val="en-US"/>
        </w:rPr>
        <w:t xml:space="preserve">; </w:t>
      </w:r>
      <w:r w:rsidRPr="00F211B3">
        <w:rPr>
          <w:rFonts w:ascii="Arial" w:hAnsi="Arial" w:cs="Arial"/>
          <w:i/>
          <w:lang w:val="en-US"/>
        </w:rPr>
        <w:t xml:space="preserve">The Mine Workers' Union v J P Prinsloo; The Mine Workers' Union v Greyling </w:t>
      </w:r>
      <w:r w:rsidRPr="00F211B3">
        <w:rPr>
          <w:rFonts w:ascii="Arial" w:hAnsi="Arial" w:cs="Arial"/>
          <w:lang w:val="en-US"/>
        </w:rPr>
        <w:t xml:space="preserve">1948 (3) SA 831 (A); </w:t>
      </w:r>
      <w:r w:rsidRPr="00F211B3">
        <w:rPr>
          <w:rFonts w:ascii="Arial" w:hAnsi="Arial" w:cs="Arial"/>
          <w:i/>
          <w:lang w:val="en-US"/>
        </w:rPr>
        <w:t>Mahomed v Ravat Bombay House (Pty) Ltd</w:t>
      </w:r>
      <w:r w:rsidRPr="00F211B3">
        <w:rPr>
          <w:rFonts w:ascii="Arial" w:hAnsi="Arial" w:cs="Arial"/>
          <w:lang w:val="en-US"/>
        </w:rPr>
        <w:t xml:space="preserve"> 1958 (4) Sa 704 (T); and </w:t>
      </w:r>
      <w:r w:rsidRPr="00F211B3">
        <w:rPr>
          <w:rFonts w:ascii="Arial" w:hAnsi="Arial" w:cs="Arial"/>
          <w:i/>
          <w:lang w:val="en-US"/>
        </w:rPr>
        <w:t>Wolpert v Uitzigt Properties (Pty) Ltd and others</w:t>
      </w:r>
      <w:r w:rsidRPr="00F211B3">
        <w:rPr>
          <w:rFonts w:ascii="Arial" w:hAnsi="Arial" w:cs="Arial"/>
          <w:lang w:val="en-US"/>
        </w:rPr>
        <w:t xml:space="preserve"> 1961 (2) SA 257 (W).</w:t>
      </w:r>
    </w:p>
  </w:footnote>
  <w:footnote w:id="18">
    <w:p w14:paraId="11A1BC92" w14:textId="4512F958"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i/>
          <w:lang w:val="en-US"/>
        </w:rPr>
        <w:t>Compare, East Asia Company Ltd (Respondent) v PT Satria Tiratama Energindo (Appellant) (Bermuda)</w:t>
      </w:r>
      <w:r>
        <w:rPr>
          <w:rFonts w:ascii="Arial" w:hAnsi="Arial" w:cs="Arial"/>
          <w:lang w:val="en-US"/>
        </w:rPr>
        <w:t xml:space="preserve"> [2019] UKPC 30</w:t>
      </w:r>
      <w:r w:rsidRPr="00F211B3">
        <w:rPr>
          <w:rFonts w:ascii="Arial" w:hAnsi="Arial" w:cs="Arial"/>
          <w:lang w:val="en-US"/>
        </w:rPr>
        <w:t xml:space="preserve"> para 65: ‘It could not be established independently that [the company] had made any representation as to the scope of the [purported agent’s] authority to</w:t>
      </w:r>
      <w:r>
        <w:rPr>
          <w:rFonts w:ascii="Arial" w:hAnsi="Arial" w:cs="Arial"/>
          <w:lang w:val="en-US"/>
        </w:rPr>
        <w:t xml:space="preserve"> agree a sale of its only asset </w:t>
      </w:r>
      <w:r w:rsidRPr="00F211B3">
        <w:rPr>
          <w:rFonts w:ascii="Arial" w:hAnsi="Arial" w:cs="Arial"/>
          <w:lang w:val="en-US"/>
        </w:rPr>
        <w:t>.</w:t>
      </w:r>
      <w:r>
        <w:rPr>
          <w:rFonts w:ascii="Arial" w:hAnsi="Arial" w:cs="Arial"/>
          <w:lang w:val="en-US"/>
        </w:rPr>
        <w:t xml:space="preserve"> </w:t>
      </w:r>
      <w:r w:rsidRPr="00F211B3">
        <w:rPr>
          <w:rFonts w:ascii="Arial" w:hAnsi="Arial" w:cs="Arial"/>
          <w:lang w:val="en-US"/>
        </w:rPr>
        <w:t>.</w:t>
      </w:r>
      <w:r>
        <w:rPr>
          <w:rFonts w:ascii="Arial" w:hAnsi="Arial" w:cs="Arial"/>
          <w:lang w:val="en-US"/>
        </w:rPr>
        <w:t xml:space="preserve"> </w:t>
      </w:r>
      <w:r w:rsidRPr="00F211B3">
        <w:rPr>
          <w:rFonts w:ascii="Arial" w:hAnsi="Arial" w:cs="Arial"/>
          <w:lang w:val="en-US"/>
        </w:rPr>
        <w:t>.</w:t>
      </w:r>
      <w:r>
        <w:rPr>
          <w:rFonts w:ascii="Arial" w:hAnsi="Arial" w:cs="Arial"/>
          <w:lang w:val="en-US"/>
        </w:rPr>
        <w:t>’</w:t>
      </w:r>
    </w:p>
  </w:footnote>
  <w:footnote w:id="19">
    <w:p w14:paraId="31FE5AD0" w14:textId="0717E6BB"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i/>
          <w:iCs/>
        </w:rPr>
        <w:t>Amlers Pleadings/Precedents of Pleadings</w:t>
      </w:r>
      <w:r w:rsidRPr="00F211B3">
        <w:rPr>
          <w:rFonts w:ascii="Arial" w:hAnsi="Arial" w:cs="Arial"/>
        </w:rPr>
        <w:t xml:space="preserve"> 3 Ed p 34.</w:t>
      </w:r>
    </w:p>
  </w:footnote>
  <w:footnote w:id="20">
    <w:p w14:paraId="06010504" w14:textId="1BF4C11E"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i/>
          <w:iCs/>
          <w:lang w:val="en-US"/>
        </w:rPr>
        <w:t>East Asia Company Ltd v PT Satria Tirtatama Enegindo (Bermuda)</w:t>
      </w:r>
      <w:r w:rsidRPr="00F211B3">
        <w:rPr>
          <w:rFonts w:ascii="Arial" w:hAnsi="Arial" w:cs="Arial"/>
          <w:lang w:val="en-US"/>
        </w:rPr>
        <w:t xml:space="preserve"> </w:t>
      </w:r>
      <w:r>
        <w:rPr>
          <w:rFonts w:ascii="Arial" w:hAnsi="Arial" w:cs="Arial"/>
          <w:lang w:val="en-US"/>
        </w:rPr>
        <w:t xml:space="preserve">[2019] UKPC 30 (27 June 2019), at </w:t>
      </w:r>
      <w:r w:rsidRPr="00F211B3">
        <w:rPr>
          <w:rFonts w:ascii="Arial" w:hAnsi="Arial" w:cs="Arial"/>
          <w:lang w:val="en-US"/>
        </w:rPr>
        <w:t>10 paras 41-42.</w:t>
      </w:r>
    </w:p>
  </w:footnote>
  <w:footnote w:id="21">
    <w:p w14:paraId="2ED9E04D" w14:textId="77777777"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lang w:val="en-US"/>
        </w:rPr>
        <w:t xml:space="preserve">See also </w:t>
      </w:r>
      <w:r w:rsidRPr="00F211B3">
        <w:rPr>
          <w:rFonts w:ascii="Arial" w:hAnsi="Arial" w:cs="Arial"/>
          <w:i/>
          <w:iCs/>
          <w:lang w:val="en-US"/>
        </w:rPr>
        <w:t>Freeman &amp; Lockyer v Buckhurst Park Properties (Mangal) Ltd</w:t>
      </w:r>
      <w:r w:rsidRPr="00F211B3">
        <w:rPr>
          <w:rFonts w:ascii="Arial" w:hAnsi="Arial" w:cs="Arial"/>
          <w:lang w:val="en-US"/>
        </w:rPr>
        <w:t xml:space="preserve"> [1964] 2 QB 480, 503 and 505.</w:t>
      </w:r>
    </w:p>
  </w:footnote>
  <w:footnote w:id="22">
    <w:p w14:paraId="6C8F6FBF" w14:textId="5E43E83C"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i/>
          <w:lang w:val="en-US"/>
        </w:rPr>
        <w:t>Hosken Employee Benefits (Pty) Ltd v Slade</w:t>
      </w:r>
      <w:r w:rsidRPr="00F211B3">
        <w:rPr>
          <w:rFonts w:ascii="Arial" w:hAnsi="Arial" w:cs="Arial"/>
          <w:lang w:val="en-US"/>
        </w:rPr>
        <w:t xml:space="preserve"> 1992 (4) SA 183 at 191A; </w:t>
      </w:r>
      <w:r>
        <w:rPr>
          <w:rFonts w:ascii="Arial" w:hAnsi="Arial" w:cs="Arial"/>
          <w:i/>
          <w:lang w:val="en-US"/>
        </w:rPr>
        <w:t>Rosebank Television &amp;</w:t>
      </w:r>
      <w:r w:rsidRPr="00F211B3">
        <w:rPr>
          <w:rFonts w:ascii="Arial" w:hAnsi="Arial" w:cs="Arial"/>
          <w:i/>
          <w:lang w:val="en-US"/>
        </w:rPr>
        <w:t xml:space="preserve"> Appliance Co (Pty)</w:t>
      </w:r>
      <w:r>
        <w:rPr>
          <w:rFonts w:ascii="Arial" w:hAnsi="Arial" w:cs="Arial"/>
          <w:i/>
          <w:lang w:val="en-US"/>
        </w:rPr>
        <w:t xml:space="preserve"> </w:t>
      </w:r>
      <w:r w:rsidRPr="00F211B3">
        <w:rPr>
          <w:rFonts w:ascii="Arial" w:hAnsi="Arial" w:cs="Arial"/>
          <w:i/>
          <w:lang w:val="en-US"/>
        </w:rPr>
        <w:t>Ltd v Orbitt Sales Corporation (Pty) Ltd</w:t>
      </w:r>
      <w:r w:rsidRPr="00F211B3">
        <w:rPr>
          <w:rFonts w:ascii="Arial" w:hAnsi="Arial" w:cs="Arial"/>
          <w:lang w:val="en-US"/>
        </w:rPr>
        <w:t xml:space="preserve"> 1969 (1) SA 300 (T); </w:t>
      </w:r>
      <w:r w:rsidRPr="00F211B3">
        <w:rPr>
          <w:rFonts w:ascii="Arial" w:hAnsi="Arial" w:cs="Arial"/>
          <w:i/>
          <w:lang w:val="en-US"/>
        </w:rPr>
        <w:t>Inter-Continental Finance &amp; Licensing Corporation (Pty) Ltd v St</w:t>
      </w:r>
      <w:r>
        <w:rPr>
          <w:rFonts w:ascii="Arial" w:hAnsi="Arial" w:cs="Arial"/>
          <w:i/>
          <w:lang w:val="en-US"/>
        </w:rPr>
        <w:t>ands 56 and 57 Industria Ltd &amp;</w:t>
      </w:r>
      <w:r w:rsidRPr="00F211B3">
        <w:rPr>
          <w:rFonts w:ascii="Arial" w:hAnsi="Arial" w:cs="Arial"/>
          <w:i/>
          <w:lang w:val="en-US"/>
        </w:rPr>
        <w:t xml:space="preserve"> another</w:t>
      </w:r>
      <w:r>
        <w:rPr>
          <w:rFonts w:ascii="Arial" w:hAnsi="Arial" w:cs="Arial"/>
          <w:lang w:val="en-US"/>
        </w:rPr>
        <w:t xml:space="preserve"> 1979 (3) SA 740 (W) at 748B-C; </w:t>
      </w:r>
      <w:r w:rsidRPr="00141587">
        <w:rPr>
          <w:rFonts w:ascii="Arial" w:hAnsi="Arial" w:cs="Arial"/>
          <w:bCs/>
          <w:i/>
        </w:rPr>
        <w:t>Rodgerson v SWE Power</w:t>
      </w:r>
      <w:r w:rsidRPr="00141587">
        <w:rPr>
          <w:rFonts w:ascii="Arial" w:hAnsi="Arial" w:cs="Arial"/>
          <w:i/>
        </w:rPr>
        <w:t> and </w:t>
      </w:r>
      <w:r w:rsidRPr="00141587">
        <w:rPr>
          <w:rFonts w:ascii="Arial" w:hAnsi="Arial" w:cs="Arial"/>
          <w:bCs/>
          <w:i/>
        </w:rPr>
        <w:t>Pumps</w:t>
      </w:r>
      <w:r w:rsidRPr="00141587">
        <w:rPr>
          <w:rFonts w:ascii="Arial" w:hAnsi="Arial" w:cs="Arial"/>
          <w:i/>
        </w:rPr>
        <w:t> (</w:t>
      </w:r>
      <w:r w:rsidRPr="00141587">
        <w:rPr>
          <w:rFonts w:ascii="Arial" w:hAnsi="Arial" w:cs="Arial"/>
          <w:bCs/>
          <w:i/>
        </w:rPr>
        <w:t>Pty</w:t>
      </w:r>
      <w:r w:rsidRPr="00141587">
        <w:rPr>
          <w:rFonts w:ascii="Arial" w:hAnsi="Arial" w:cs="Arial"/>
          <w:i/>
        </w:rPr>
        <w:t>) </w:t>
      </w:r>
      <w:r w:rsidRPr="00141587">
        <w:rPr>
          <w:rFonts w:ascii="Arial" w:hAnsi="Arial" w:cs="Arial"/>
          <w:bCs/>
          <w:i/>
        </w:rPr>
        <w:t>Ltd</w:t>
      </w:r>
      <w:r w:rsidRPr="00141587">
        <w:rPr>
          <w:rFonts w:ascii="Arial" w:hAnsi="Arial" w:cs="Arial"/>
        </w:rPr>
        <w:t> 1990 NR 230 (SC)</w:t>
      </w:r>
      <w:r>
        <w:rPr>
          <w:rFonts w:ascii="Arial" w:hAnsi="Arial" w:cs="Arial"/>
        </w:rPr>
        <w:t xml:space="preserve"> at 233G.</w:t>
      </w:r>
    </w:p>
  </w:footnote>
  <w:footnote w:id="23">
    <w:p w14:paraId="130E5B26" w14:textId="568D94B8"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3A44D2">
        <w:rPr>
          <w:rFonts w:ascii="Arial" w:hAnsi="Arial" w:cs="Arial"/>
          <w:i/>
          <w:lang w:val="en-US"/>
        </w:rPr>
        <w:t>Ibid</w:t>
      </w:r>
      <w:r w:rsidRPr="00893007">
        <w:rPr>
          <w:rFonts w:ascii="Arial" w:hAnsi="Arial" w:cs="Arial"/>
          <w:lang w:val="en-US"/>
        </w:rPr>
        <w:t xml:space="preserve"> para 183, footnotes omitted.</w:t>
      </w:r>
      <w:r w:rsidRPr="00F211B3">
        <w:rPr>
          <w:rFonts w:ascii="Arial" w:hAnsi="Arial" w:cs="Arial"/>
          <w:lang w:val="en-US"/>
        </w:rPr>
        <w:t xml:space="preserve"> </w:t>
      </w:r>
    </w:p>
  </w:footnote>
  <w:footnote w:id="24">
    <w:p w14:paraId="12D9C7F8" w14:textId="337FEBEC"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i/>
          <w:iCs/>
          <w:lang w:val="en-US"/>
        </w:rPr>
        <w:t>Tuckers Land and Development Corporation (Pty) Ltd v Perpellief</w:t>
      </w:r>
      <w:r w:rsidRPr="00F211B3">
        <w:rPr>
          <w:rFonts w:ascii="Arial" w:hAnsi="Arial" w:cs="Arial"/>
          <w:lang w:val="en-US"/>
        </w:rPr>
        <w:t xml:space="preserve"> 1978 (2) SA a</w:t>
      </w:r>
      <w:r>
        <w:rPr>
          <w:rFonts w:ascii="Arial" w:hAnsi="Arial" w:cs="Arial"/>
          <w:lang w:val="en-US"/>
        </w:rPr>
        <w:t>t 15</w:t>
      </w:r>
      <w:r w:rsidRPr="00F211B3">
        <w:rPr>
          <w:rFonts w:ascii="Arial" w:hAnsi="Arial" w:cs="Arial"/>
          <w:lang w:val="en-US"/>
        </w:rPr>
        <w:t>A-H.</w:t>
      </w:r>
    </w:p>
  </w:footnote>
  <w:footnote w:id="25">
    <w:p w14:paraId="791AA0D6" w14:textId="25A304FC" w:rsidR="00DC3BD6" w:rsidRPr="00C94BBD" w:rsidRDefault="00DC3BD6">
      <w:pPr>
        <w:pStyle w:val="FootnoteText"/>
        <w:rPr>
          <w:lang w:val="en-ZA"/>
        </w:rPr>
      </w:pPr>
      <w:r>
        <w:rPr>
          <w:rStyle w:val="FootnoteReference"/>
        </w:rPr>
        <w:footnoteRef/>
      </w:r>
      <w:r>
        <w:t xml:space="preserve"> </w:t>
      </w:r>
      <w:r w:rsidRPr="00C94BBD">
        <w:rPr>
          <w:rFonts w:ascii="Arial" w:hAnsi="Arial" w:cs="Arial"/>
          <w:i/>
          <w:lang w:val="en-US"/>
        </w:rPr>
        <w:t xml:space="preserve">Tuckers </w:t>
      </w:r>
      <w:r>
        <w:rPr>
          <w:rFonts w:ascii="Arial" w:hAnsi="Arial" w:cs="Arial"/>
          <w:lang w:val="en-US"/>
        </w:rPr>
        <w:t>supra at 15C-G</w:t>
      </w:r>
      <w:r w:rsidRPr="00C94BBD">
        <w:rPr>
          <w:rFonts w:ascii="Arial" w:hAnsi="Arial" w:cs="Arial"/>
          <w:lang w:val="en-US"/>
        </w:rPr>
        <w:t>.</w:t>
      </w:r>
    </w:p>
  </w:footnote>
  <w:footnote w:id="26">
    <w:p w14:paraId="3EF3498F" w14:textId="6D437AA5"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i/>
          <w:lang w:val="en-US"/>
        </w:rPr>
        <w:t xml:space="preserve">Tuckers </w:t>
      </w:r>
      <w:r w:rsidRPr="00F211B3">
        <w:rPr>
          <w:rFonts w:ascii="Arial" w:hAnsi="Arial" w:cs="Arial"/>
          <w:lang w:val="en-US"/>
        </w:rPr>
        <w:t>supra at 18H-19A.</w:t>
      </w:r>
    </w:p>
  </w:footnote>
  <w:footnote w:id="27">
    <w:p w14:paraId="6E460144" w14:textId="3690D34A"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i/>
        </w:rPr>
        <w:t>East Asia Company Ltd v PT Satria Tirtatama Energindo</w:t>
      </w:r>
      <w:r>
        <w:rPr>
          <w:rFonts w:ascii="Arial" w:hAnsi="Arial" w:cs="Arial"/>
        </w:rPr>
        <w:t xml:space="preserve"> </w:t>
      </w:r>
      <w:r w:rsidRPr="00F211B3">
        <w:rPr>
          <w:rFonts w:ascii="Arial" w:hAnsi="Arial" w:cs="Arial"/>
          <w:lang w:val="en-US"/>
        </w:rPr>
        <w:t>para 61.</w:t>
      </w:r>
    </w:p>
  </w:footnote>
  <w:footnote w:id="28">
    <w:p w14:paraId="5685C4E3" w14:textId="0735C91B"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2840D6">
        <w:rPr>
          <w:rFonts w:ascii="Arial" w:hAnsi="Arial" w:cs="Arial"/>
          <w:i/>
          <w:lang w:val="en-US"/>
        </w:rPr>
        <w:t>Wilmot Motors (Pty) Ltd v Tuckers Fresh Meat Supply Ltd</w:t>
      </w:r>
      <w:r w:rsidRPr="00F211B3">
        <w:rPr>
          <w:rFonts w:ascii="Arial" w:hAnsi="Arial" w:cs="Arial"/>
          <w:lang w:val="en-US"/>
        </w:rPr>
        <w:t xml:space="preserve"> [1969] 4 All SA 395 (T); 1969 (4) SA 474 (T).</w:t>
      </w:r>
    </w:p>
  </w:footnote>
  <w:footnote w:id="29">
    <w:p w14:paraId="4FE15389" w14:textId="06C01984" w:rsidR="00DC3BD6" w:rsidRPr="007767EC" w:rsidRDefault="00DC3BD6" w:rsidP="00F211B3">
      <w:pPr>
        <w:pStyle w:val="FootnoteText"/>
        <w:jc w:val="both"/>
        <w:rPr>
          <w:rFonts w:ascii="Arial" w:hAnsi="Arial" w:cs="Arial"/>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bCs/>
          <w:i/>
          <w:iCs/>
          <w:lang w:val="en-US"/>
        </w:rPr>
        <w:t>Bonne Fortune Beleggings Bpk v K</w:t>
      </w:r>
      <w:r>
        <w:rPr>
          <w:rFonts w:ascii="Arial" w:hAnsi="Arial" w:cs="Arial"/>
          <w:bCs/>
          <w:i/>
          <w:iCs/>
          <w:lang w:val="en-US"/>
        </w:rPr>
        <w:t>alahari Salt Works (Pty) Ltd &amp; o</w:t>
      </w:r>
      <w:r w:rsidRPr="00F211B3">
        <w:rPr>
          <w:rFonts w:ascii="Arial" w:hAnsi="Arial" w:cs="Arial"/>
          <w:bCs/>
          <w:i/>
          <w:iCs/>
          <w:lang w:val="en-US"/>
        </w:rPr>
        <w:t>thers</w:t>
      </w:r>
      <w:r w:rsidRPr="00F211B3">
        <w:rPr>
          <w:rFonts w:ascii="Arial" w:hAnsi="Arial" w:cs="Arial"/>
        </w:rPr>
        <w:t xml:space="preserve"> 1973 (3) SA 739 (NC) at 743H.</w:t>
      </w:r>
    </w:p>
  </w:footnote>
  <w:footnote w:id="30">
    <w:p w14:paraId="26F90B2C" w14:textId="676D4334"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i/>
          <w:lang w:val="en-US"/>
        </w:rPr>
        <w:t>Middleton v Carr</w:t>
      </w:r>
      <w:r w:rsidRPr="00F211B3">
        <w:rPr>
          <w:rFonts w:ascii="Arial" w:hAnsi="Arial" w:cs="Arial"/>
          <w:lang w:val="en-US"/>
        </w:rPr>
        <w:t xml:space="preserve"> 1949 (2) SA 374 (A) at 391.</w:t>
      </w:r>
    </w:p>
  </w:footnote>
  <w:footnote w:id="31">
    <w:p w14:paraId="34CC6FD1" w14:textId="2FA51223" w:rsidR="00DC3BD6" w:rsidRPr="00F211B3" w:rsidRDefault="00DC3BD6" w:rsidP="00F211B3">
      <w:pPr>
        <w:pStyle w:val="FootnoteText"/>
        <w:jc w:val="both"/>
        <w:rPr>
          <w:rFonts w:ascii="Arial" w:hAnsi="Arial" w:cs="Arial"/>
          <w:lang w:val="en-ZA"/>
        </w:rPr>
      </w:pPr>
      <w:r w:rsidRPr="00F211B3">
        <w:rPr>
          <w:rStyle w:val="FootnoteReference"/>
          <w:rFonts w:ascii="Arial" w:hAnsi="Arial" w:cs="Arial"/>
        </w:rPr>
        <w:footnoteRef/>
      </w:r>
      <w:r w:rsidRPr="00F211B3">
        <w:rPr>
          <w:rFonts w:ascii="Arial" w:hAnsi="Arial" w:cs="Arial"/>
        </w:rPr>
        <w:t xml:space="preserve"> </w:t>
      </w:r>
      <w:r w:rsidRPr="00F211B3">
        <w:rPr>
          <w:rFonts w:ascii="Arial" w:hAnsi="Arial" w:cs="Arial"/>
          <w:i/>
          <w:lang w:val="en-US"/>
        </w:rPr>
        <w:t xml:space="preserve">The DTA of Namibia v River View Estate CC </w:t>
      </w:r>
      <w:r>
        <w:rPr>
          <w:rFonts w:ascii="Arial" w:hAnsi="Arial" w:cs="Arial"/>
          <w:lang w:val="en-US"/>
        </w:rPr>
        <w:t>(I 2003/</w:t>
      </w:r>
      <w:r w:rsidRPr="00F211B3">
        <w:rPr>
          <w:rFonts w:ascii="Arial" w:hAnsi="Arial" w:cs="Arial"/>
          <w:lang w:val="en-US"/>
        </w:rPr>
        <w:t>2015) [2019] NAHCMD 491 (15 November 2019).</w:t>
      </w:r>
    </w:p>
  </w:footnote>
  <w:footnote w:id="32">
    <w:p w14:paraId="7CC0B5F4" w14:textId="6EF0EC5F" w:rsidR="00DC3BD6" w:rsidRPr="00F211B3" w:rsidRDefault="00DC3BD6" w:rsidP="00F211B3">
      <w:pPr>
        <w:pStyle w:val="FootnoteText"/>
        <w:jc w:val="both"/>
        <w:rPr>
          <w:rFonts w:ascii="Arial" w:hAnsi="Arial" w:cs="Arial"/>
        </w:rPr>
      </w:pPr>
      <w:r w:rsidRPr="00F211B3">
        <w:rPr>
          <w:rStyle w:val="FootnoteReference"/>
          <w:rFonts w:ascii="Arial" w:hAnsi="Arial" w:cs="Arial"/>
        </w:rPr>
        <w:footnoteRef/>
      </w:r>
      <w:r w:rsidRPr="00F211B3">
        <w:rPr>
          <w:rFonts w:ascii="Arial" w:hAnsi="Arial" w:cs="Arial"/>
        </w:rPr>
        <w:t xml:space="preserve"> Ex Parte Sanders et</w:t>
      </w:r>
      <w:r>
        <w:rPr>
          <w:rFonts w:ascii="Arial" w:hAnsi="Arial" w:cs="Arial"/>
        </w:rPr>
        <w:t xml:space="preserve"> Uxor 2002 (5) SA 38</w:t>
      </w:r>
      <w:r w:rsidR="00B309B1">
        <w:rPr>
          <w:rFonts w:ascii="Arial" w:hAnsi="Arial" w:cs="Arial"/>
        </w:rPr>
        <w:t>7E</w:t>
      </w:r>
      <w:r>
        <w:rPr>
          <w:rFonts w:ascii="Arial" w:hAnsi="Arial" w:cs="Arial"/>
        </w:rPr>
        <w:t>.</w:t>
      </w:r>
    </w:p>
  </w:footnote>
  <w:footnote w:id="33">
    <w:p w14:paraId="70CB1E6F" w14:textId="3DD3396F" w:rsidR="00DC3BD6" w:rsidRPr="00F211B3" w:rsidRDefault="00DC3BD6" w:rsidP="00F211B3">
      <w:pPr>
        <w:pStyle w:val="FootnoteText"/>
        <w:jc w:val="both"/>
        <w:rPr>
          <w:rFonts w:ascii="Arial" w:hAnsi="Arial" w:cs="Arial"/>
          <w:lang w:val="en-US"/>
        </w:rPr>
      </w:pPr>
      <w:r w:rsidRPr="00F211B3">
        <w:rPr>
          <w:rStyle w:val="FootnoteReference"/>
          <w:rFonts w:ascii="Arial" w:hAnsi="Arial" w:cs="Arial"/>
        </w:rPr>
        <w:footnoteRef/>
      </w:r>
      <w:r w:rsidRPr="00F211B3">
        <w:rPr>
          <w:rFonts w:ascii="Arial" w:hAnsi="Arial" w:cs="Arial"/>
        </w:rPr>
        <w:t xml:space="preserve"> </w:t>
      </w:r>
      <w:r>
        <w:rPr>
          <w:rFonts w:ascii="Arial" w:hAnsi="Arial" w:cs="Arial"/>
          <w:i/>
          <w:lang w:val="en-US"/>
        </w:rPr>
        <w:t>Ex parte Sanders et Ux</w:t>
      </w:r>
      <w:r w:rsidRPr="00F211B3">
        <w:rPr>
          <w:rFonts w:ascii="Arial" w:hAnsi="Arial" w:cs="Arial"/>
          <w:i/>
          <w:lang w:val="en-US"/>
        </w:rPr>
        <w:t xml:space="preserve">or </w:t>
      </w:r>
      <w:r w:rsidR="00B309B1">
        <w:rPr>
          <w:rFonts w:ascii="Arial" w:hAnsi="Arial" w:cs="Arial"/>
          <w:lang w:val="en-US"/>
        </w:rPr>
        <w:t>2002 (5) SA 387C</w:t>
      </w:r>
      <w:r w:rsidRPr="00F211B3">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513767"/>
      <w:docPartObj>
        <w:docPartGallery w:val="Page Numbers (Top of Page)"/>
        <w:docPartUnique/>
      </w:docPartObj>
    </w:sdtPr>
    <w:sdtEndPr>
      <w:rPr>
        <w:rFonts w:ascii="Arial" w:hAnsi="Arial" w:cs="Arial"/>
        <w:noProof/>
      </w:rPr>
    </w:sdtEndPr>
    <w:sdtContent>
      <w:p w14:paraId="3AEC6619" w14:textId="4AC5C803" w:rsidR="00DC3BD6" w:rsidRPr="003E7BBD" w:rsidRDefault="00DC3BD6" w:rsidP="003E7BBD">
        <w:pPr>
          <w:pStyle w:val="Header"/>
          <w:jc w:val="right"/>
          <w:rPr>
            <w:rFonts w:ascii="Arial" w:hAnsi="Arial" w:cs="Arial"/>
            <w:noProof/>
          </w:rPr>
        </w:pPr>
        <w:r w:rsidRPr="003E7BBD">
          <w:rPr>
            <w:rFonts w:ascii="Arial" w:hAnsi="Arial" w:cs="Arial"/>
            <w:noProof/>
          </w:rPr>
          <w:fldChar w:fldCharType="begin"/>
        </w:r>
        <w:r w:rsidRPr="003E7BBD">
          <w:rPr>
            <w:rFonts w:ascii="Arial" w:hAnsi="Arial" w:cs="Arial"/>
            <w:noProof/>
          </w:rPr>
          <w:instrText xml:space="preserve"> PAGE   \* MERGEFORMAT </w:instrText>
        </w:r>
        <w:r w:rsidRPr="003E7BBD">
          <w:rPr>
            <w:rFonts w:ascii="Arial" w:hAnsi="Arial" w:cs="Arial"/>
            <w:noProof/>
          </w:rPr>
          <w:fldChar w:fldCharType="separate"/>
        </w:r>
        <w:r w:rsidR="00464B72">
          <w:rPr>
            <w:rFonts w:ascii="Arial" w:hAnsi="Arial" w:cs="Arial"/>
            <w:noProof/>
          </w:rPr>
          <w:t>2</w:t>
        </w:r>
        <w:r w:rsidRPr="003E7BBD">
          <w:rPr>
            <w:rFonts w:ascii="Arial" w:hAnsi="Arial" w:cs="Arial"/>
            <w:noProof/>
          </w:rPr>
          <w:fldChar w:fldCharType="end"/>
        </w:r>
      </w:p>
    </w:sdtContent>
  </w:sdt>
  <w:p w14:paraId="5CBA69F3" w14:textId="77777777" w:rsidR="00DC3BD6" w:rsidRDefault="00DC3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1100"/>
    <w:multiLevelType w:val="multilevel"/>
    <w:tmpl w:val="C2D89210"/>
    <w:lvl w:ilvl="0">
      <w:start w:val="1"/>
      <w:numFmt w:val="decimal"/>
      <w:lvlText w:val="%1."/>
      <w:lvlJc w:val="left"/>
      <w:pPr>
        <w:ind w:left="1080" w:hanging="360"/>
      </w:pPr>
    </w:lvl>
    <w:lvl w:ilvl="1">
      <w:start w:val="1"/>
      <w:numFmt w:val="lowerLetter"/>
      <w:isLgl/>
      <w:lvlText w:val="%2."/>
      <w:lvlJc w:val="left"/>
      <w:pPr>
        <w:ind w:left="1800" w:hanging="720"/>
      </w:pPr>
      <w:rPr>
        <w:rFonts w:ascii="Arial" w:eastAsia="Calibri" w:hAnsi="Arial" w:cs="Arial"/>
      </w:r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320" w:hanging="144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 w15:restartNumberingAfterBreak="0">
    <w:nsid w:val="0CCB7E91"/>
    <w:multiLevelType w:val="hybridMultilevel"/>
    <w:tmpl w:val="2EDAC3D0"/>
    <w:lvl w:ilvl="0" w:tplc="7B165EDC">
      <w:start w:val="1"/>
      <w:numFmt w:val="decimal"/>
      <w:lvlText w:val="[%1]"/>
      <w:lvlJc w:val="left"/>
      <w:pPr>
        <w:ind w:left="360" w:hanging="360"/>
      </w:pPr>
      <w:rPr>
        <w:rFonts w:hint="default"/>
        <w:b w:val="0"/>
        <w:bCs w:val="0"/>
        <w:i w:val="0"/>
        <w:sz w:val="24"/>
        <w:szCs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FB137C2"/>
    <w:multiLevelType w:val="hybridMultilevel"/>
    <w:tmpl w:val="23CA558A"/>
    <w:lvl w:ilvl="0" w:tplc="E076B4EA">
      <w:start w:val="1"/>
      <w:numFmt w:val="lowerLetter"/>
      <w:lvlText w:val="(%1)"/>
      <w:lvlJc w:val="left"/>
      <w:pPr>
        <w:ind w:left="789" w:hanging="360"/>
      </w:pPr>
      <w:rPr>
        <w:rFonts w:ascii="Arial" w:eastAsia="Calibri" w:hAnsi="Arial" w:cs="Arial"/>
      </w:rPr>
    </w:lvl>
    <w:lvl w:ilvl="1" w:tplc="20000019" w:tentative="1">
      <w:start w:val="1"/>
      <w:numFmt w:val="lowerLetter"/>
      <w:lvlText w:val="%2."/>
      <w:lvlJc w:val="left"/>
      <w:pPr>
        <w:ind w:left="1509" w:hanging="360"/>
      </w:pPr>
    </w:lvl>
    <w:lvl w:ilvl="2" w:tplc="2000001B" w:tentative="1">
      <w:start w:val="1"/>
      <w:numFmt w:val="lowerRoman"/>
      <w:lvlText w:val="%3."/>
      <w:lvlJc w:val="right"/>
      <w:pPr>
        <w:ind w:left="2229" w:hanging="180"/>
      </w:pPr>
    </w:lvl>
    <w:lvl w:ilvl="3" w:tplc="2000000F" w:tentative="1">
      <w:start w:val="1"/>
      <w:numFmt w:val="decimal"/>
      <w:lvlText w:val="%4."/>
      <w:lvlJc w:val="left"/>
      <w:pPr>
        <w:ind w:left="2949" w:hanging="360"/>
      </w:pPr>
    </w:lvl>
    <w:lvl w:ilvl="4" w:tplc="20000019" w:tentative="1">
      <w:start w:val="1"/>
      <w:numFmt w:val="lowerLetter"/>
      <w:lvlText w:val="%5."/>
      <w:lvlJc w:val="left"/>
      <w:pPr>
        <w:ind w:left="3669" w:hanging="360"/>
      </w:pPr>
    </w:lvl>
    <w:lvl w:ilvl="5" w:tplc="2000001B" w:tentative="1">
      <w:start w:val="1"/>
      <w:numFmt w:val="lowerRoman"/>
      <w:lvlText w:val="%6."/>
      <w:lvlJc w:val="right"/>
      <w:pPr>
        <w:ind w:left="4389" w:hanging="180"/>
      </w:pPr>
    </w:lvl>
    <w:lvl w:ilvl="6" w:tplc="2000000F" w:tentative="1">
      <w:start w:val="1"/>
      <w:numFmt w:val="decimal"/>
      <w:lvlText w:val="%7."/>
      <w:lvlJc w:val="left"/>
      <w:pPr>
        <w:ind w:left="5109" w:hanging="360"/>
      </w:pPr>
    </w:lvl>
    <w:lvl w:ilvl="7" w:tplc="20000019" w:tentative="1">
      <w:start w:val="1"/>
      <w:numFmt w:val="lowerLetter"/>
      <w:lvlText w:val="%8."/>
      <w:lvlJc w:val="left"/>
      <w:pPr>
        <w:ind w:left="5829" w:hanging="360"/>
      </w:pPr>
    </w:lvl>
    <w:lvl w:ilvl="8" w:tplc="2000001B" w:tentative="1">
      <w:start w:val="1"/>
      <w:numFmt w:val="lowerRoman"/>
      <w:lvlText w:val="%9."/>
      <w:lvlJc w:val="right"/>
      <w:pPr>
        <w:ind w:left="6549" w:hanging="180"/>
      </w:pPr>
    </w:lvl>
  </w:abstractNum>
  <w:abstractNum w:abstractNumId="3" w15:restartNumberingAfterBreak="0">
    <w:nsid w:val="125322DE"/>
    <w:multiLevelType w:val="hybridMultilevel"/>
    <w:tmpl w:val="5F2EEDA2"/>
    <w:lvl w:ilvl="0" w:tplc="08C6CCC4">
      <w:start w:val="1"/>
      <w:numFmt w:val="decimal"/>
      <w:lvlText w:val="[%1]"/>
      <w:lvlJc w:val="left"/>
      <w:pPr>
        <w:ind w:left="720" w:hanging="360"/>
      </w:pPr>
      <w:rPr>
        <w:rFonts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0C7663A"/>
    <w:multiLevelType w:val="hybridMultilevel"/>
    <w:tmpl w:val="CD44230E"/>
    <w:lvl w:ilvl="0" w:tplc="718C6354">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DDF6311"/>
    <w:multiLevelType w:val="hybridMultilevel"/>
    <w:tmpl w:val="BFF0CDE0"/>
    <w:lvl w:ilvl="0" w:tplc="04090019">
      <w:start w:val="1"/>
      <w:numFmt w:val="lowerLetter"/>
      <w:lvlText w:val="%1."/>
      <w:lvlJc w:val="left"/>
      <w:pPr>
        <w:ind w:left="1777" w:hanging="360"/>
      </w:pPr>
    </w:lvl>
    <w:lvl w:ilvl="1" w:tplc="04090019">
      <w:start w:val="1"/>
      <w:numFmt w:val="lowerLetter"/>
      <w:lvlText w:val="%2."/>
      <w:lvlJc w:val="left"/>
      <w:pPr>
        <w:ind w:left="2497" w:hanging="360"/>
      </w:pPr>
    </w:lvl>
    <w:lvl w:ilvl="2" w:tplc="0409001B">
      <w:start w:val="1"/>
      <w:numFmt w:val="lowerRoman"/>
      <w:lvlText w:val="%3."/>
      <w:lvlJc w:val="right"/>
      <w:pPr>
        <w:ind w:left="3217" w:hanging="180"/>
      </w:pPr>
    </w:lvl>
    <w:lvl w:ilvl="3" w:tplc="0409000F">
      <w:start w:val="1"/>
      <w:numFmt w:val="decimal"/>
      <w:lvlText w:val="%4."/>
      <w:lvlJc w:val="left"/>
      <w:pPr>
        <w:ind w:left="3937" w:hanging="360"/>
      </w:pPr>
    </w:lvl>
    <w:lvl w:ilvl="4" w:tplc="04090019">
      <w:start w:val="1"/>
      <w:numFmt w:val="lowerLetter"/>
      <w:lvlText w:val="%5."/>
      <w:lvlJc w:val="left"/>
      <w:pPr>
        <w:ind w:left="4657" w:hanging="360"/>
      </w:pPr>
    </w:lvl>
    <w:lvl w:ilvl="5" w:tplc="0409001B">
      <w:start w:val="1"/>
      <w:numFmt w:val="lowerRoman"/>
      <w:lvlText w:val="%6."/>
      <w:lvlJc w:val="right"/>
      <w:pPr>
        <w:ind w:left="5377" w:hanging="180"/>
      </w:pPr>
    </w:lvl>
    <w:lvl w:ilvl="6" w:tplc="0409000F">
      <w:start w:val="1"/>
      <w:numFmt w:val="decimal"/>
      <w:lvlText w:val="%7."/>
      <w:lvlJc w:val="left"/>
      <w:pPr>
        <w:ind w:left="6097" w:hanging="360"/>
      </w:pPr>
    </w:lvl>
    <w:lvl w:ilvl="7" w:tplc="04090019">
      <w:start w:val="1"/>
      <w:numFmt w:val="lowerLetter"/>
      <w:lvlText w:val="%8."/>
      <w:lvlJc w:val="left"/>
      <w:pPr>
        <w:ind w:left="6817" w:hanging="360"/>
      </w:pPr>
    </w:lvl>
    <w:lvl w:ilvl="8" w:tplc="0409001B">
      <w:start w:val="1"/>
      <w:numFmt w:val="lowerRoman"/>
      <w:lvlText w:val="%9."/>
      <w:lvlJc w:val="right"/>
      <w:pPr>
        <w:ind w:left="7537" w:hanging="180"/>
      </w:pPr>
    </w:lvl>
  </w:abstractNum>
  <w:abstractNum w:abstractNumId="6" w15:restartNumberingAfterBreak="0">
    <w:nsid w:val="74912AB9"/>
    <w:multiLevelType w:val="hybridMultilevel"/>
    <w:tmpl w:val="46AA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84"/>
    <w:rsid w:val="00000547"/>
    <w:rsid w:val="00002695"/>
    <w:rsid w:val="000028DC"/>
    <w:rsid w:val="000048C4"/>
    <w:rsid w:val="000054F4"/>
    <w:rsid w:val="00005770"/>
    <w:rsid w:val="00005E5F"/>
    <w:rsid w:val="00006D9E"/>
    <w:rsid w:val="00007098"/>
    <w:rsid w:val="000073EC"/>
    <w:rsid w:val="000119B7"/>
    <w:rsid w:val="00011F4F"/>
    <w:rsid w:val="00012406"/>
    <w:rsid w:val="00014A39"/>
    <w:rsid w:val="00016222"/>
    <w:rsid w:val="00020256"/>
    <w:rsid w:val="00020846"/>
    <w:rsid w:val="00021E86"/>
    <w:rsid w:val="00024211"/>
    <w:rsid w:val="000258A2"/>
    <w:rsid w:val="000268D5"/>
    <w:rsid w:val="00030ED0"/>
    <w:rsid w:val="00031EDB"/>
    <w:rsid w:val="000323C1"/>
    <w:rsid w:val="00032C14"/>
    <w:rsid w:val="0003599B"/>
    <w:rsid w:val="00037F46"/>
    <w:rsid w:val="00040D0B"/>
    <w:rsid w:val="00043737"/>
    <w:rsid w:val="00044D0B"/>
    <w:rsid w:val="0004582C"/>
    <w:rsid w:val="00046CA0"/>
    <w:rsid w:val="0004739B"/>
    <w:rsid w:val="000501E1"/>
    <w:rsid w:val="0005176A"/>
    <w:rsid w:val="00052175"/>
    <w:rsid w:val="00052242"/>
    <w:rsid w:val="000544FA"/>
    <w:rsid w:val="00056202"/>
    <w:rsid w:val="00056A1D"/>
    <w:rsid w:val="00062313"/>
    <w:rsid w:val="00064F41"/>
    <w:rsid w:val="00066165"/>
    <w:rsid w:val="00067349"/>
    <w:rsid w:val="00071B43"/>
    <w:rsid w:val="000720CB"/>
    <w:rsid w:val="00073075"/>
    <w:rsid w:val="000754A3"/>
    <w:rsid w:val="00075FCC"/>
    <w:rsid w:val="000765D1"/>
    <w:rsid w:val="00076FCC"/>
    <w:rsid w:val="000815AE"/>
    <w:rsid w:val="000817B4"/>
    <w:rsid w:val="00081C62"/>
    <w:rsid w:val="00082052"/>
    <w:rsid w:val="000839AF"/>
    <w:rsid w:val="00083D0B"/>
    <w:rsid w:val="00083DFA"/>
    <w:rsid w:val="0008415E"/>
    <w:rsid w:val="00084EB9"/>
    <w:rsid w:val="000850BF"/>
    <w:rsid w:val="0008591C"/>
    <w:rsid w:val="00086CAC"/>
    <w:rsid w:val="00086F90"/>
    <w:rsid w:val="00087FAC"/>
    <w:rsid w:val="00090F5C"/>
    <w:rsid w:val="00092CD7"/>
    <w:rsid w:val="000948E0"/>
    <w:rsid w:val="000A2015"/>
    <w:rsid w:val="000A57DA"/>
    <w:rsid w:val="000A699A"/>
    <w:rsid w:val="000A6FB3"/>
    <w:rsid w:val="000B016F"/>
    <w:rsid w:val="000B1AC1"/>
    <w:rsid w:val="000B1BA9"/>
    <w:rsid w:val="000B40E8"/>
    <w:rsid w:val="000B5612"/>
    <w:rsid w:val="000C2BCB"/>
    <w:rsid w:val="000C39E5"/>
    <w:rsid w:val="000C4D6C"/>
    <w:rsid w:val="000C6ABC"/>
    <w:rsid w:val="000D1065"/>
    <w:rsid w:val="000D2AF6"/>
    <w:rsid w:val="000D53B8"/>
    <w:rsid w:val="000D5544"/>
    <w:rsid w:val="000D55E0"/>
    <w:rsid w:val="000D5D6D"/>
    <w:rsid w:val="000D66F5"/>
    <w:rsid w:val="000E16E8"/>
    <w:rsid w:val="000E22B7"/>
    <w:rsid w:val="000E275F"/>
    <w:rsid w:val="000E2AB5"/>
    <w:rsid w:val="000E3637"/>
    <w:rsid w:val="000E3843"/>
    <w:rsid w:val="000E47EF"/>
    <w:rsid w:val="000E63FC"/>
    <w:rsid w:val="000E7C87"/>
    <w:rsid w:val="000F0D66"/>
    <w:rsid w:val="000F1F66"/>
    <w:rsid w:val="000F23FD"/>
    <w:rsid w:val="000F4EEF"/>
    <w:rsid w:val="000F5DF8"/>
    <w:rsid w:val="0010293F"/>
    <w:rsid w:val="00107639"/>
    <w:rsid w:val="0011091C"/>
    <w:rsid w:val="001121BF"/>
    <w:rsid w:val="001124B5"/>
    <w:rsid w:val="00113E99"/>
    <w:rsid w:val="001140DA"/>
    <w:rsid w:val="0011489B"/>
    <w:rsid w:val="00114F00"/>
    <w:rsid w:val="00114F5C"/>
    <w:rsid w:val="0011557B"/>
    <w:rsid w:val="00116A6B"/>
    <w:rsid w:val="00121F7F"/>
    <w:rsid w:val="00123003"/>
    <w:rsid w:val="001241DF"/>
    <w:rsid w:val="0012456D"/>
    <w:rsid w:val="00125EA7"/>
    <w:rsid w:val="00126463"/>
    <w:rsid w:val="00127695"/>
    <w:rsid w:val="00127980"/>
    <w:rsid w:val="00130EDE"/>
    <w:rsid w:val="00132D4B"/>
    <w:rsid w:val="00134096"/>
    <w:rsid w:val="00134714"/>
    <w:rsid w:val="00135A09"/>
    <w:rsid w:val="00135A8B"/>
    <w:rsid w:val="00136D2F"/>
    <w:rsid w:val="00137F29"/>
    <w:rsid w:val="00140FF5"/>
    <w:rsid w:val="001414AD"/>
    <w:rsid w:val="00141587"/>
    <w:rsid w:val="0014212A"/>
    <w:rsid w:val="00142FB6"/>
    <w:rsid w:val="00145470"/>
    <w:rsid w:val="00145780"/>
    <w:rsid w:val="00145FED"/>
    <w:rsid w:val="00146328"/>
    <w:rsid w:val="00146BEF"/>
    <w:rsid w:val="00151E35"/>
    <w:rsid w:val="00152918"/>
    <w:rsid w:val="00152C82"/>
    <w:rsid w:val="00152E11"/>
    <w:rsid w:val="0015565F"/>
    <w:rsid w:val="00155AE7"/>
    <w:rsid w:val="001560C2"/>
    <w:rsid w:val="001569B9"/>
    <w:rsid w:val="00156EE7"/>
    <w:rsid w:val="00160333"/>
    <w:rsid w:val="00164BAB"/>
    <w:rsid w:val="001661A2"/>
    <w:rsid w:val="001663AF"/>
    <w:rsid w:val="00166AF7"/>
    <w:rsid w:val="00167CB5"/>
    <w:rsid w:val="0017042F"/>
    <w:rsid w:val="0017084A"/>
    <w:rsid w:val="00173631"/>
    <w:rsid w:val="00174170"/>
    <w:rsid w:val="00174531"/>
    <w:rsid w:val="001757CB"/>
    <w:rsid w:val="00175AF2"/>
    <w:rsid w:val="001767CE"/>
    <w:rsid w:val="00176A29"/>
    <w:rsid w:val="00177F1B"/>
    <w:rsid w:val="00180702"/>
    <w:rsid w:val="00181A5F"/>
    <w:rsid w:val="00182836"/>
    <w:rsid w:val="00183928"/>
    <w:rsid w:val="00183AED"/>
    <w:rsid w:val="00187ED7"/>
    <w:rsid w:val="00192280"/>
    <w:rsid w:val="001929B9"/>
    <w:rsid w:val="0019303F"/>
    <w:rsid w:val="00194865"/>
    <w:rsid w:val="00194A7D"/>
    <w:rsid w:val="001954B4"/>
    <w:rsid w:val="001969AA"/>
    <w:rsid w:val="00196D7C"/>
    <w:rsid w:val="001A349B"/>
    <w:rsid w:val="001A631C"/>
    <w:rsid w:val="001A6B08"/>
    <w:rsid w:val="001A76F1"/>
    <w:rsid w:val="001B1583"/>
    <w:rsid w:val="001B1C5A"/>
    <w:rsid w:val="001B1D41"/>
    <w:rsid w:val="001B1DC8"/>
    <w:rsid w:val="001B2616"/>
    <w:rsid w:val="001B486A"/>
    <w:rsid w:val="001B4A66"/>
    <w:rsid w:val="001B4B37"/>
    <w:rsid w:val="001B52E9"/>
    <w:rsid w:val="001C09D3"/>
    <w:rsid w:val="001C186D"/>
    <w:rsid w:val="001C29EE"/>
    <w:rsid w:val="001C4CB9"/>
    <w:rsid w:val="001D015A"/>
    <w:rsid w:val="001D11B6"/>
    <w:rsid w:val="001D1327"/>
    <w:rsid w:val="001D13F0"/>
    <w:rsid w:val="001D2860"/>
    <w:rsid w:val="001D3129"/>
    <w:rsid w:val="001D3455"/>
    <w:rsid w:val="001D3E0D"/>
    <w:rsid w:val="001D731E"/>
    <w:rsid w:val="001D76F3"/>
    <w:rsid w:val="001D7726"/>
    <w:rsid w:val="001D7B0B"/>
    <w:rsid w:val="001E08CB"/>
    <w:rsid w:val="001E0E49"/>
    <w:rsid w:val="001E4003"/>
    <w:rsid w:val="001E5831"/>
    <w:rsid w:val="001E59E4"/>
    <w:rsid w:val="001E6AFA"/>
    <w:rsid w:val="001E6F0F"/>
    <w:rsid w:val="001F0CA2"/>
    <w:rsid w:val="001F162F"/>
    <w:rsid w:val="001F1893"/>
    <w:rsid w:val="001F393C"/>
    <w:rsid w:val="001F454A"/>
    <w:rsid w:val="001F4B01"/>
    <w:rsid w:val="001F7292"/>
    <w:rsid w:val="001F737D"/>
    <w:rsid w:val="00200119"/>
    <w:rsid w:val="00202386"/>
    <w:rsid w:val="00202DEF"/>
    <w:rsid w:val="0020312F"/>
    <w:rsid w:val="00205149"/>
    <w:rsid w:val="00206B5E"/>
    <w:rsid w:val="00206DF3"/>
    <w:rsid w:val="00207763"/>
    <w:rsid w:val="00211D6A"/>
    <w:rsid w:val="00214DC2"/>
    <w:rsid w:val="0021664F"/>
    <w:rsid w:val="002176C6"/>
    <w:rsid w:val="00217F9F"/>
    <w:rsid w:val="00220944"/>
    <w:rsid w:val="00220D47"/>
    <w:rsid w:val="00220F8E"/>
    <w:rsid w:val="002224E6"/>
    <w:rsid w:val="00223839"/>
    <w:rsid w:val="0022434C"/>
    <w:rsid w:val="00224947"/>
    <w:rsid w:val="00224BD2"/>
    <w:rsid w:val="0022526E"/>
    <w:rsid w:val="002252D4"/>
    <w:rsid w:val="0022560C"/>
    <w:rsid w:val="00225D01"/>
    <w:rsid w:val="00227102"/>
    <w:rsid w:val="00227364"/>
    <w:rsid w:val="0022750B"/>
    <w:rsid w:val="00230919"/>
    <w:rsid w:val="00230939"/>
    <w:rsid w:val="0023182F"/>
    <w:rsid w:val="002322AD"/>
    <w:rsid w:val="0023324B"/>
    <w:rsid w:val="00235A4F"/>
    <w:rsid w:val="0024184B"/>
    <w:rsid w:val="00241B48"/>
    <w:rsid w:val="0024239F"/>
    <w:rsid w:val="00242CFB"/>
    <w:rsid w:val="0024428E"/>
    <w:rsid w:val="00244548"/>
    <w:rsid w:val="00245727"/>
    <w:rsid w:val="00247450"/>
    <w:rsid w:val="00247AE5"/>
    <w:rsid w:val="00252F04"/>
    <w:rsid w:val="0025522A"/>
    <w:rsid w:val="0025554E"/>
    <w:rsid w:val="00257589"/>
    <w:rsid w:val="00257BDF"/>
    <w:rsid w:val="00260EDE"/>
    <w:rsid w:val="0026286A"/>
    <w:rsid w:val="00262CC6"/>
    <w:rsid w:val="0026455C"/>
    <w:rsid w:val="002664C1"/>
    <w:rsid w:val="00267F13"/>
    <w:rsid w:val="00271772"/>
    <w:rsid w:val="00272EF0"/>
    <w:rsid w:val="002755AB"/>
    <w:rsid w:val="002759E6"/>
    <w:rsid w:val="00276935"/>
    <w:rsid w:val="00280187"/>
    <w:rsid w:val="002807AB"/>
    <w:rsid w:val="00281F5C"/>
    <w:rsid w:val="00282D8E"/>
    <w:rsid w:val="002840D6"/>
    <w:rsid w:val="00286417"/>
    <w:rsid w:val="00287D21"/>
    <w:rsid w:val="0029024D"/>
    <w:rsid w:val="00290BE9"/>
    <w:rsid w:val="00292884"/>
    <w:rsid w:val="0029468D"/>
    <w:rsid w:val="00294B29"/>
    <w:rsid w:val="00296B5B"/>
    <w:rsid w:val="002975F1"/>
    <w:rsid w:val="002A19A2"/>
    <w:rsid w:val="002A2355"/>
    <w:rsid w:val="002A3D77"/>
    <w:rsid w:val="002A470B"/>
    <w:rsid w:val="002A676F"/>
    <w:rsid w:val="002B0495"/>
    <w:rsid w:val="002B3917"/>
    <w:rsid w:val="002B3DDB"/>
    <w:rsid w:val="002B63F3"/>
    <w:rsid w:val="002B72F5"/>
    <w:rsid w:val="002C0FBF"/>
    <w:rsid w:val="002C2E68"/>
    <w:rsid w:val="002C360C"/>
    <w:rsid w:val="002C7105"/>
    <w:rsid w:val="002D0463"/>
    <w:rsid w:val="002D1F92"/>
    <w:rsid w:val="002D39B1"/>
    <w:rsid w:val="002D3B3B"/>
    <w:rsid w:val="002D4CCA"/>
    <w:rsid w:val="002D55E2"/>
    <w:rsid w:val="002D57D1"/>
    <w:rsid w:val="002D7983"/>
    <w:rsid w:val="002E089C"/>
    <w:rsid w:val="002E5085"/>
    <w:rsid w:val="002E5B85"/>
    <w:rsid w:val="002E693A"/>
    <w:rsid w:val="002F2699"/>
    <w:rsid w:val="002F3007"/>
    <w:rsid w:val="002F37E9"/>
    <w:rsid w:val="002F4220"/>
    <w:rsid w:val="002F5482"/>
    <w:rsid w:val="002F587B"/>
    <w:rsid w:val="002F593B"/>
    <w:rsid w:val="002F5987"/>
    <w:rsid w:val="002F69E7"/>
    <w:rsid w:val="002F6BC2"/>
    <w:rsid w:val="002F71EC"/>
    <w:rsid w:val="002F71EF"/>
    <w:rsid w:val="002F75FF"/>
    <w:rsid w:val="0030116A"/>
    <w:rsid w:val="003019F6"/>
    <w:rsid w:val="00301AB8"/>
    <w:rsid w:val="00304543"/>
    <w:rsid w:val="00305646"/>
    <w:rsid w:val="003064F1"/>
    <w:rsid w:val="003070A2"/>
    <w:rsid w:val="00307318"/>
    <w:rsid w:val="00310C1F"/>
    <w:rsid w:val="00310D12"/>
    <w:rsid w:val="003116D8"/>
    <w:rsid w:val="00311755"/>
    <w:rsid w:val="00312D6B"/>
    <w:rsid w:val="00312D99"/>
    <w:rsid w:val="003157E6"/>
    <w:rsid w:val="00316516"/>
    <w:rsid w:val="003168FF"/>
    <w:rsid w:val="003173BC"/>
    <w:rsid w:val="00317612"/>
    <w:rsid w:val="00321681"/>
    <w:rsid w:val="00321DBD"/>
    <w:rsid w:val="003230D4"/>
    <w:rsid w:val="00323C07"/>
    <w:rsid w:val="00323FEA"/>
    <w:rsid w:val="00324FA7"/>
    <w:rsid w:val="00325697"/>
    <w:rsid w:val="003302C6"/>
    <w:rsid w:val="00330797"/>
    <w:rsid w:val="0033218F"/>
    <w:rsid w:val="00333BAB"/>
    <w:rsid w:val="0033555E"/>
    <w:rsid w:val="00335817"/>
    <w:rsid w:val="0033787C"/>
    <w:rsid w:val="003401EF"/>
    <w:rsid w:val="00345E90"/>
    <w:rsid w:val="003460BB"/>
    <w:rsid w:val="003516DE"/>
    <w:rsid w:val="00354938"/>
    <w:rsid w:val="00355C9D"/>
    <w:rsid w:val="00355CB4"/>
    <w:rsid w:val="0035670A"/>
    <w:rsid w:val="003572AF"/>
    <w:rsid w:val="003574DC"/>
    <w:rsid w:val="00357744"/>
    <w:rsid w:val="00357DB9"/>
    <w:rsid w:val="003608B0"/>
    <w:rsid w:val="00361111"/>
    <w:rsid w:val="00363827"/>
    <w:rsid w:val="00364D4F"/>
    <w:rsid w:val="00365877"/>
    <w:rsid w:val="00367DC6"/>
    <w:rsid w:val="003715BE"/>
    <w:rsid w:val="00373F3E"/>
    <w:rsid w:val="003759AD"/>
    <w:rsid w:val="00380A73"/>
    <w:rsid w:val="0038256F"/>
    <w:rsid w:val="0038575A"/>
    <w:rsid w:val="00386D32"/>
    <w:rsid w:val="003900F8"/>
    <w:rsid w:val="00392B3D"/>
    <w:rsid w:val="0039511A"/>
    <w:rsid w:val="003953CB"/>
    <w:rsid w:val="00395A7C"/>
    <w:rsid w:val="00397EB0"/>
    <w:rsid w:val="003A09A9"/>
    <w:rsid w:val="003A2109"/>
    <w:rsid w:val="003A32EF"/>
    <w:rsid w:val="003A3533"/>
    <w:rsid w:val="003A44D2"/>
    <w:rsid w:val="003A6777"/>
    <w:rsid w:val="003A774C"/>
    <w:rsid w:val="003B1933"/>
    <w:rsid w:val="003B1D2C"/>
    <w:rsid w:val="003B258C"/>
    <w:rsid w:val="003B3BF0"/>
    <w:rsid w:val="003B74B6"/>
    <w:rsid w:val="003C0575"/>
    <w:rsid w:val="003C1FD4"/>
    <w:rsid w:val="003C2226"/>
    <w:rsid w:val="003C2284"/>
    <w:rsid w:val="003C28F1"/>
    <w:rsid w:val="003C3ED4"/>
    <w:rsid w:val="003C6114"/>
    <w:rsid w:val="003C7865"/>
    <w:rsid w:val="003C7A27"/>
    <w:rsid w:val="003D290A"/>
    <w:rsid w:val="003D2D82"/>
    <w:rsid w:val="003D51B6"/>
    <w:rsid w:val="003D6C70"/>
    <w:rsid w:val="003E42DA"/>
    <w:rsid w:val="003E596C"/>
    <w:rsid w:val="003E5A0B"/>
    <w:rsid w:val="003E7A35"/>
    <w:rsid w:val="003E7BBD"/>
    <w:rsid w:val="003F02D6"/>
    <w:rsid w:val="003F0AFE"/>
    <w:rsid w:val="003F2C62"/>
    <w:rsid w:val="003F3000"/>
    <w:rsid w:val="003F3491"/>
    <w:rsid w:val="003F4CE4"/>
    <w:rsid w:val="003F5E4B"/>
    <w:rsid w:val="004013AC"/>
    <w:rsid w:val="0040360D"/>
    <w:rsid w:val="00403A3A"/>
    <w:rsid w:val="00405C4B"/>
    <w:rsid w:val="00406763"/>
    <w:rsid w:val="00407AB5"/>
    <w:rsid w:val="00410C8E"/>
    <w:rsid w:val="00410F8A"/>
    <w:rsid w:val="00412088"/>
    <w:rsid w:val="00412C9B"/>
    <w:rsid w:val="004136A6"/>
    <w:rsid w:val="0041778D"/>
    <w:rsid w:val="004204C0"/>
    <w:rsid w:val="00421BBC"/>
    <w:rsid w:val="00421CDE"/>
    <w:rsid w:val="004230D7"/>
    <w:rsid w:val="0042385C"/>
    <w:rsid w:val="00426891"/>
    <w:rsid w:val="004268AA"/>
    <w:rsid w:val="00427D0E"/>
    <w:rsid w:val="004302C3"/>
    <w:rsid w:val="0043246D"/>
    <w:rsid w:val="00434FBC"/>
    <w:rsid w:val="00435DEB"/>
    <w:rsid w:val="00436F6D"/>
    <w:rsid w:val="004374F9"/>
    <w:rsid w:val="00437EE6"/>
    <w:rsid w:val="00440D25"/>
    <w:rsid w:val="00441B92"/>
    <w:rsid w:val="00446F35"/>
    <w:rsid w:val="00446F38"/>
    <w:rsid w:val="00450BAF"/>
    <w:rsid w:val="00452349"/>
    <w:rsid w:val="00452EBB"/>
    <w:rsid w:val="00453756"/>
    <w:rsid w:val="004555D4"/>
    <w:rsid w:val="00457B79"/>
    <w:rsid w:val="00460F0D"/>
    <w:rsid w:val="00461413"/>
    <w:rsid w:val="00462531"/>
    <w:rsid w:val="004626D5"/>
    <w:rsid w:val="00462B48"/>
    <w:rsid w:val="00463C97"/>
    <w:rsid w:val="00464B72"/>
    <w:rsid w:val="00466F9F"/>
    <w:rsid w:val="00471E19"/>
    <w:rsid w:val="00472C51"/>
    <w:rsid w:val="0047312B"/>
    <w:rsid w:val="00473D14"/>
    <w:rsid w:val="0047481F"/>
    <w:rsid w:val="0047567B"/>
    <w:rsid w:val="00475CB1"/>
    <w:rsid w:val="00475F2D"/>
    <w:rsid w:val="00482588"/>
    <w:rsid w:val="00483EEA"/>
    <w:rsid w:val="004844D6"/>
    <w:rsid w:val="00484B9E"/>
    <w:rsid w:val="00485702"/>
    <w:rsid w:val="00485FCC"/>
    <w:rsid w:val="00487A26"/>
    <w:rsid w:val="00487DEA"/>
    <w:rsid w:val="0049058D"/>
    <w:rsid w:val="004907AC"/>
    <w:rsid w:val="00490B49"/>
    <w:rsid w:val="0049200C"/>
    <w:rsid w:val="00492C74"/>
    <w:rsid w:val="00493664"/>
    <w:rsid w:val="004943D8"/>
    <w:rsid w:val="0049469D"/>
    <w:rsid w:val="00495D4F"/>
    <w:rsid w:val="00495E76"/>
    <w:rsid w:val="0049630C"/>
    <w:rsid w:val="004973C1"/>
    <w:rsid w:val="004A0397"/>
    <w:rsid w:val="004A15D8"/>
    <w:rsid w:val="004A3573"/>
    <w:rsid w:val="004A5DCF"/>
    <w:rsid w:val="004B29B6"/>
    <w:rsid w:val="004B34F4"/>
    <w:rsid w:val="004B4E98"/>
    <w:rsid w:val="004B7CF7"/>
    <w:rsid w:val="004C2B89"/>
    <w:rsid w:val="004C3724"/>
    <w:rsid w:val="004C45CA"/>
    <w:rsid w:val="004C70C9"/>
    <w:rsid w:val="004D0D4E"/>
    <w:rsid w:val="004D3923"/>
    <w:rsid w:val="004D6AD1"/>
    <w:rsid w:val="004D6E77"/>
    <w:rsid w:val="004D7FE5"/>
    <w:rsid w:val="004E0B4D"/>
    <w:rsid w:val="004E289E"/>
    <w:rsid w:val="004E359C"/>
    <w:rsid w:val="004E426C"/>
    <w:rsid w:val="004E7A1D"/>
    <w:rsid w:val="004F00D9"/>
    <w:rsid w:val="004F0F95"/>
    <w:rsid w:val="004F1E14"/>
    <w:rsid w:val="004F317A"/>
    <w:rsid w:val="004F6009"/>
    <w:rsid w:val="004F7A7A"/>
    <w:rsid w:val="00501F69"/>
    <w:rsid w:val="00503BD1"/>
    <w:rsid w:val="00505392"/>
    <w:rsid w:val="00505CEA"/>
    <w:rsid w:val="00512318"/>
    <w:rsid w:val="00512F92"/>
    <w:rsid w:val="005149E0"/>
    <w:rsid w:val="00514F9D"/>
    <w:rsid w:val="00516561"/>
    <w:rsid w:val="005176ED"/>
    <w:rsid w:val="00520A0F"/>
    <w:rsid w:val="00522339"/>
    <w:rsid w:val="00523E4E"/>
    <w:rsid w:val="00525CFD"/>
    <w:rsid w:val="005302A6"/>
    <w:rsid w:val="00530D7C"/>
    <w:rsid w:val="0053279D"/>
    <w:rsid w:val="00532AEE"/>
    <w:rsid w:val="00532CB7"/>
    <w:rsid w:val="00532EEF"/>
    <w:rsid w:val="005344FF"/>
    <w:rsid w:val="00536E30"/>
    <w:rsid w:val="00537BC8"/>
    <w:rsid w:val="005418CB"/>
    <w:rsid w:val="0054217B"/>
    <w:rsid w:val="005451A5"/>
    <w:rsid w:val="005465B5"/>
    <w:rsid w:val="00546E28"/>
    <w:rsid w:val="0054740C"/>
    <w:rsid w:val="0054754B"/>
    <w:rsid w:val="00547D2D"/>
    <w:rsid w:val="0055169A"/>
    <w:rsid w:val="00553B63"/>
    <w:rsid w:val="00553C23"/>
    <w:rsid w:val="00553E9D"/>
    <w:rsid w:val="00553FE4"/>
    <w:rsid w:val="00553FEF"/>
    <w:rsid w:val="00555858"/>
    <w:rsid w:val="00556075"/>
    <w:rsid w:val="00556128"/>
    <w:rsid w:val="00556837"/>
    <w:rsid w:val="00560142"/>
    <w:rsid w:val="00560894"/>
    <w:rsid w:val="00561A5E"/>
    <w:rsid w:val="0056523B"/>
    <w:rsid w:val="00567004"/>
    <w:rsid w:val="005725A6"/>
    <w:rsid w:val="00572B14"/>
    <w:rsid w:val="005734AB"/>
    <w:rsid w:val="00573924"/>
    <w:rsid w:val="005766CC"/>
    <w:rsid w:val="005766EB"/>
    <w:rsid w:val="005817AB"/>
    <w:rsid w:val="00582FA5"/>
    <w:rsid w:val="00584C1A"/>
    <w:rsid w:val="00584E4C"/>
    <w:rsid w:val="00590F96"/>
    <w:rsid w:val="0059146F"/>
    <w:rsid w:val="00592D39"/>
    <w:rsid w:val="00592F9F"/>
    <w:rsid w:val="00593D2C"/>
    <w:rsid w:val="00594C2D"/>
    <w:rsid w:val="0059562E"/>
    <w:rsid w:val="005959FA"/>
    <w:rsid w:val="00596E36"/>
    <w:rsid w:val="005A1157"/>
    <w:rsid w:val="005A202E"/>
    <w:rsid w:val="005A2CE1"/>
    <w:rsid w:val="005A2D73"/>
    <w:rsid w:val="005A3C0B"/>
    <w:rsid w:val="005A42C0"/>
    <w:rsid w:val="005A54A7"/>
    <w:rsid w:val="005A69E3"/>
    <w:rsid w:val="005A7AE4"/>
    <w:rsid w:val="005B084A"/>
    <w:rsid w:val="005B0FBC"/>
    <w:rsid w:val="005B11ED"/>
    <w:rsid w:val="005B1203"/>
    <w:rsid w:val="005B1768"/>
    <w:rsid w:val="005B2B2F"/>
    <w:rsid w:val="005B3F67"/>
    <w:rsid w:val="005B4732"/>
    <w:rsid w:val="005B549C"/>
    <w:rsid w:val="005B5654"/>
    <w:rsid w:val="005B5B62"/>
    <w:rsid w:val="005B63C5"/>
    <w:rsid w:val="005B6576"/>
    <w:rsid w:val="005B6A83"/>
    <w:rsid w:val="005B6E26"/>
    <w:rsid w:val="005B7F25"/>
    <w:rsid w:val="005C193C"/>
    <w:rsid w:val="005C215F"/>
    <w:rsid w:val="005C272B"/>
    <w:rsid w:val="005C2AAD"/>
    <w:rsid w:val="005C2DCD"/>
    <w:rsid w:val="005C37C5"/>
    <w:rsid w:val="005C5C75"/>
    <w:rsid w:val="005C72D5"/>
    <w:rsid w:val="005C79E3"/>
    <w:rsid w:val="005D0D4C"/>
    <w:rsid w:val="005D14E5"/>
    <w:rsid w:val="005D2227"/>
    <w:rsid w:val="005D22BA"/>
    <w:rsid w:val="005D3F38"/>
    <w:rsid w:val="005D6F20"/>
    <w:rsid w:val="005D750E"/>
    <w:rsid w:val="005E252C"/>
    <w:rsid w:val="005E3E39"/>
    <w:rsid w:val="005E43B6"/>
    <w:rsid w:val="005E6731"/>
    <w:rsid w:val="005F17C0"/>
    <w:rsid w:val="005F21EB"/>
    <w:rsid w:val="005F2481"/>
    <w:rsid w:val="005F58CD"/>
    <w:rsid w:val="005F6715"/>
    <w:rsid w:val="005F7E37"/>
    <w:rsid w:val="00600D11"/>
    <w:rsid w:val="00601794"/>
    <w:rsid w:val="00601D11"/>
    <w:rsid w:val="00604B6E"/>
    <w:rsid w:val="00604BA6"/>
    <w:rsid w:val="00604C8F"/>
    <w:rsid w:val="0060566B"/>
    <w:rsid w:val="00605847"/>
    <w:rsid w:val="00612839"/>
    <w:rsid w:val="006131BD"/>
    <w:rsid w:val="00613574"/>
    <w:rsid w:val="00613A3A"/>
    <w:rsid w:val="006144E9"/>
    <w:rsid w:val="00614B50"/>
    <w:rsid w:val="00615C0E"/>
    <w:rsid w:val="00615DFB"/>
    <w:rsid w:val="00615EF7"/>
    <w:rsid w:val="006216C4"/>
    <w:rsid w:val="00621DA1"/>
    <w:rsid w:val="00626ED6"/>
    <w:rsid w:val="006306BD"/>
    <w:rsid w:val="00631435"/>
    <w:rsid w:val="00632BB0"/>
    <w:rsid w:val="00632ED8"/>
    <w:rsid w:val="00633736"/>
    <w:rsid w:val="00634ABF"/>
    <w:rsid w:val="006355CA"/>
    <w:rsid w:val="00641469"/>
    <w:rsid w:val="00642010"/>
    <w:rsid w:val="00643908"/>
    <w:rsid w:val="00644C0B"/>
    <w:rsid w:val="0064733B"/>
    <w:rsid w:val="00653294"/>
    <w:rsid w:val="0065359B"/>
    <w:rsid w:val="00653D83"/>
    <w:rsid w:val="00653FEE"/>
    <w:rsid w:val="006543D5"/>
    <w:rsid w:val="00655A0A"/>
    <w:rsid w:val="00660C16"/>
    <w:rsid w:val="00660CE7"/>
    <w:rsid w:val="00661B09"/>
    <w:rsid w:val="006637B3"/>
    <w:rsid w:val="00665D18"/>
    <w:rsid w:val="00665F91"/>
    <w:rsid w:val="00666041"/>
    <w:rsid w:val="006663F3"/>
    <w:rsid w:val="006663F6"/>
    <w:rsid w:val="006666D4"/>
    <w:rsid w:val="0066680F"/>
    <w:rsid w:val="00670CEF"/>
    <w:rsid w:val="00673465"/>
    <w:rsid w:val="00673F57"/>
    <w:rsid w:val="006764A3"/>
    <w:rsid w:val="00680C73"/>
    <w:rsid w:val="00684406"/>
    <w:rsid w:val="00685205"/>
    <w:rsid w:val="0068528F"/>
    <w:rsid w:val="00685936"/>
    <w:rsid w:val="0069061A"/>
    <w:rsid w:val="00691A79"/>
    <w:rsid w:val="00692B46"/>
    <w:rsid w:val="00693FF6"/>
    <w:rsid w:val="00695FE7"/>
    <w:rsid w:val="006A2251"/>
    <w:rsid w:val="006A4F4D"/>
    <w:rsid w:val="006B00FB"/>
    <w:rsid w:val="006B14DC"/>
    <w:rsid w:val="006B184E"/>
    <w:rsid w:val="006B2E7A"/>
    <w:rsid w:val="006B6B02"/>
    <w:rsid w:val="006B7273"/>
    <w:rsid w:val="006B76B6"/>
    <w:rsid w:val="006C1526"/>
    <w:rsid w:val="006C6616"/>
    <w:rsid w:val="006D02CC"/>
    <w:rsid w:val="006D07BA"/>
    <w:rsid w:val="006D2877"/>
    <w:rsid w:val="006D58CF"/>
    <w:rsid w:val="006D593E"/>
    <w:rsid w:val="006D620C"/>
    <w:rsid w:val="006D7E6F"/>
    <w:rsid w:val="006E04AE"/>
    <w:rsid w:val="006E157A"/>
    <w:rsid w:val="006E1804"/>
    <w:rsid w:val="006F05C5"/>
    <w:rsid w:val="006F3D1A"/>
    <w:rsid w:val="006F5226"/>
    <w:rsid w:val="006F6BE8"/>
    <w:rsid w:val="006F7158"/>
    <w:rsid w:val="006F7DB7"/>
    <w:rsid w:val="00700C91"/>
    <w:rsid w:val="0070339A"/>
    <w:rsid w:val="00703F28"/>
    <w:rsid w:val="007072D7"/>
    <w:rsid w:val="00707709"/>
    <w:rsid w:val="00711D58"/>
    <w:rsid w:val="00711DCC"/>
    <w:rsid w:val="00712116"/>
    <w:rsid w:val="00715CED"/>
    <w:rsid w:val="00715D41"/>
    <w:rsid w:val="00716627"/>
    <w:rsid w:val="00716772"/>
    <w:rsid w:val="0071717A"/>
    <w:rsid w:val="00720A31"/>
    <w:rsid w:val="0072135C"/>
    <w:rsid w:val="007213E3"/>
    <w:rsid w:val="00721C99"/>
    <w:rsid w:val="0072449D"/>
    <w:rsid w:val="007275F9"/>
    <w:rsid w:val="00731BC8"/>
    <w:rsid w:val="00732CCD"/>
    <w:rsid w:val="00734139"/>
    <w:rsid w:val="007355DA"/>
    <w:rsid w:val="007356ED"/>
    <w:rsid w:val="007360A5"/>
    <w:rsid w:val="0074032F"/>
    <w:rsid w:val="00742405"/>
    <w:rsid w:val="00744DAC"/>
    <w:rsid w:val="0075292B"/>
    <w:rsid w:val="00752967"/>
    <w:rsid w:val="007532AE"/>
    <w:rsid w:val="007535FC"/>
    <w:rsid w:val="00753889"/>
    <w:rsid w:val="00755B94"/>
    <w:rsid w:val="0075773C"/>
    <w:rsid w:val="007606EB"/>
    <w:rsid w:val="00765740"/>
    <w:rsid w:val="007674CE"/>
    <w:rsid w:val="007676D1"/>
    <w:rsid w:val="00767BB4"/>
    <w:rsid w:val="00770ADC"/>
    <w:rsid w:val="00770FC1"/>
    <w:rsid w:val="00771D54"/>
    <w:rsid w:val="00771DB2"/>
    <w:rsid w:val="007723C6"/>
    <w:rsid w:val="007737EC"/>
    <w:rsid w:val="0077513A"/>
    <w:rsid w:val="007767EC"/>
    <w:rsid w:val="00777B90"/>
    <w:rsid w:val="00777ED8"/>
    <w:rsid w:val="00777FCD"/>
    <w:rsid w:val="00780952"/>
    <w:rsid w:val="00780C32"/>
    <w:rsid w:val="00787883"/>
    <w:rsid w:val="00790DF2"/>
    <w:rsid w:val="0079318C"/>
    <w:rsid w:val="00793DA3"/>
    <w:rsid w:val="00796EE0"/>
    <w:rsid w:val="00797293"/>
    <w:rsid w:val="007973AC"/>
    <w:rsid w:val="0079743D"/>
    <w:rsid w:val="00797A08"/>
    <w:rsid w:val="00797CA0"/>
    <w:rsid w:val="00797F8E"/>
    <w:rsid w:val="007A03E0"/>
    <w:rsid w:val="007A1C43"/>
    <w:rsid w:val="007A2421"/>
    <w:rsid w:val="007A25CE"/>
    <w:rsid w:val="007A3A2C"/>
    <w:rsid w:val="007A4136"/>
    <w:rsid w:val="007B253C"/>
    <w:rsid w:val="007B2894"/>
    <w:rsid w:val="007B2FDB"/>
    <w:rsid w:val="007B3921"/>
    <w:rsid w:val="007B5DB5"/>
    <w:rsid w:val="007B6B47"/>
    <w:rsid w:val="007C1B02"/>
    <w:rsid w:val="007C736D"/>
    <w:rsid w:val="007C7B93"/>
    <w:rsid w:val="007D063C"/>
    <w:rsid w:val="007D16CD"/>
    <w:rsid w:val="007D3AF2"/>
    <w:rsid w:val="007D4D1F"/>
    <w:rsid w:val="007D53F2"/>
    <w:rsid w:val="007D5484"/>
    <w:rsid w:val="007D5963"/>
    <w:rsid w:val="007D63C8"/>
    <w:rsid w:val="007E052E"/>
    <w:rsid w:val="007E0A44"/>
    <w:rsid w:val="007E16E4"/>
    <w:rsid w:val="007E1973"/>
    <w:rsid w:val="007E3133"/>
    <w:rsid w:val="007E4B92"/>
    <w:rsid w:val="007E5FA8"/>
    <w:rsid w:val="007E7C42"/>
    <w:rsid w:val="007F0043"/>
    <w:rsid w:val="007F1BAB"/>
    <w:rsid w:val="007F2558"/>
    <w:rsid w:val="007F5101"/>
    <w:rsid w:val="007F680E"/>
    <w:rsid w:val="007F6BE7"/>
    <w:rsid w:val="007F7FF8"/>
    <w:rsid w:val="00803885"/>
    <w:rsid w:val="00805A83"/>
    <w:rsid w:val="00806B97"/>
    <w:rsid w:val="00806BAE"/>
    <w:rsid w:val="00806C17"/>
    <w:rsid w:val="0080796E"/>
    <w:rsid w:val="00807A2B"/>
    <w:rsid w:val="008109E6"/>
    <w:rsid w:val="00810BC0"/>
    <w:rsid w:val="00810EA2"/>
    <w:rsid w:val="00817800"/>
    <w:rsid w:val="00817EFD"/>
    <w:rsid w:val="0082011B"/>
    <w:rsid w:val="008211CD"/>
    <w:rsid w:val="00822A17"/>
    <w:rsid w:val="008242EB"/>
    <w:rsid w:val="00824C3C"/>
    <w:rsid w:val="00825DAF"/>
    <w:rsid w:val="00825E77"/>
    <w:rsid w:val="008270AC"/>
    <w:rsid w:val="008343B2"/>
    <w:rsid w:val="008345FC"/>
    <w:rsid w:val="008355CA"/>
    <w:rsid w:val="008365D1"/>
    <w:rsid w:val="00836893"/>
    <w:rsid w:val="00842D0E"/>
    <w:rsid w:val="00844BD1"/>
    <w:rsid w:val="00844F2A"/>
    <w:rsid w:val="00845E53"/>
    <w:rsid w:val="0084650F"/>
    <w:rsid w:val="00850EC9"/>
    <w:rsid w:val="008513A6"/>
    <w:rsid w:val="0085264A"/>
    <w:rsid w:val="00852A68"/>
    <w:rsid w:val="00853AD8"/>
    <w:rsid w:val="00853F96"/>
    <w:rsid w:val="0085613D"/>
    <w:rsid w:val="008619A7"/>
    <w:rsid w:val="0086295C"/>
    <w:rsid w:val="0086397B"/>
    <w:rsid w:val="00864376"/>
    <w:rsid w:val="008644DD"/>
    <w:rsid w:val="008657DD"/>
    <w:rsid w:val="00866E7B"/>
    <w:rsid w:val="00867467"/>
    <w:rsid w:val="00867E6D"/>
    <w:rsid w:val="00870349"/>
    <w:rsid w:val="00870D42"/>
    <w:rsid w:val="00871230"/>
    <w:rsid w:val="00873BE7"/>
    <w:rsid w:val="00874BBE"/>
    <w:rsid w:val="00876166"/>
    <w:rsid w:val="0087752D"/>
    <w:rsid w:val="00877A16"/>
    <w:rsid w:val="008807EA"/>
    <w:rsid w:val="00881C87"/>
    <w:rsid w:val="00881CA9"/>
    <w:rsid w:val="008841F7"/>
    <w:rsid w:val="008847B8"/>
    <w:rsid w:val="008853F9"/>
    <w:rsid w:val="00886BC2"/>
    <w:rsid w:val="00887E6D"/>
    <w:rsid w:val="008901BE"/>
    <w:rsid w:val="0089107D"/>
    <w:rsid w:val="008927AF"/>
    <w:rsid w:val="00893007"/>
    <w:rsid w:val="008931FD"/>
    <w:rsid w:val="008935F1"/>
    <w:rsid w:val="008942F3"/>
    <w:rsid w:val="008A1BDB"/>
    <w:rsid w:val="008A1E31"/>
    <w:rsid w:val="008A24BA"/>
    <w:rsid w:val="008A4342"/>
    <w:rsid w:val="008A43D8"/>
    <w:rsid w:val="008A4EFD"/>
    <w:rsid w:val="008A6312"/>
    <w:rsid w:val="008A7269"/>
    <w:rsid w:val="008A72AF"/>
    <w:rsid w:val="008A7938"/>
    <w:rsid w:val="008B0012"/>
    <w:rsid w:val="008B3059"/>
    <w:rsid w:val="008B381B"/>
    <w:rsid w:val="008B6508"/>
    <w:rsid w:val="008B73FA"/>
    <w:rsid w:val="008B7534"/>
    <w:rsid w:val="008C1414"/>
    <w:rsid w:val="008C1AAB"/>
    <w:rsid w:val="008C1EDB"/>
    <w:rsid w:val="008C22D4"/>
    <w:rsid w:val="008C23FF"/>
    <w:rsid w:val="008C2E6A"/>
    <w:rsid w:val="008C7648"/>
    <w:rsid w:val="008C79F2"/>
    <w:rsid w:val="008D2B7D"/>
    <w:rsid w:val="008D3DAF"/>
    <w:rsid w:val="008D4C72"/>
    <w:rsid w:val="008D51C5"/>
    <w:rsid w:val="008D575D"/>
    <w:rsid w:val="008E17AB"/>
    <w:rsid w:val="008E319F"/>
    <w:rsid w:val="008E42B9"/>
    <w:rsid w:val="008E721F"/>
    <w:rsid w:val="008E7A81"/>
    <w:rsid w:val="008F1741"/>
    <w:rsid w:val="008F1956"/>
    <w:rsid w:val="008F19D0"/>
    <w:rsid w:val="008F2CAE"/>
    <w:rsid w:val="008F2D6C"/>
    <w:rsid w:val="008F3E6B"/>
    <w:rsid w:val="008F4735"/>
    <w:rsid w:val="008F5C7A"/>
    <w:rsid w:val="008F5E6B"/>
    <w:rsid w:val="008F699F"/>
    <w:rsid w:val="008F709A"/>
    <w:rsid w:val="00900ABE"/>
    <w:rsid w:val="009010B3"/>
    <w:rsid w:val="00902CBA"/>
    <w:rsid w:val="00903378"/>
    <w:rsid w:val="009065A9"/>
    <w:rsid w:val="00906FC0"/>
    <w:rsid w:val="00910258"/>
    <w:rsid w:val="009105F6"/>
    <w:rsid w:val="00912773"/>
    <w:rsid w:val="00912D75"/>
    <w:rsid w:val="009134AC"/>
    <w:rsid w:val="009153C1"/>
    <w:rsid w:val="0092039F"/>
    <w:rsid w:val="00921691"/>
    <w:rsid w:val="00924718"/>
    <w:rsid w:val="00926C36"/>
    <w:rsid w:val="00926D92"/>
    <w:rsid w:val="00927884"/>
    <w:rsid w:val="0093036E"/>
    <w:rsid w:val="009311EE"/>
    <w:rsid w:val="009327F4"/>
    <w:rsid w:val="00934910"/>
    <w:rsid w:val="00934C0B"/>
    <w:rsid w:val="00936FE3"/>
    <w:rsid w:val="0094205E"/>
    <w:rsid w:val="0094548F"/>
    <w:rsid w:val="00945DA4"/>
    <w:rsid w:val="009466F8"/>
    <w:rsid w:val="0095012D"/>
    <w:rsid w:val="009509BB"/>
    <w:rsid w:val="00952B4A"/>
    <w:rsid w:val="00953084"/>
    <w:rsid w:val="00953747"/>
    <w:rsid w:val="009555F3"/>
    <w:rsid w:val="00955B13"/>
    <w:rsid w:val="0095776A"/>
    <w:rsid w:val="009577A6"/>
    <w:rsid w:val="009603A5"/>
    <w:rsid w:val="00961C4A"/>
    <w:rsid w:val="00962CBB"/>
    <w:rsid w:val="00965800"/>
    <w:rsid w:val="00965BA8"/>
    <w:rsid w:val="0096630D"/>
    <w:rsid w:val="00967A11"/>
    <w:rsid w:val="00971A91"/>
    <w:rsid w:val="009728A5"/>
    <w:rsid w:val="00974117"/>
    <w:rsid w:val="00974784"/>
    <w:rsid w:val="0097492D"/>
    <w:rsid w:val="00976185"/>
    <w:rsid w:val="00976A23"/>
    <w:rsid w:val="009776E4"/>
    <w:rsid w:val="009815FD"/>
    <w:rsid w:val="009816BD"/>
    <w:rsid w:val="0098240A"/>
    <w:rsid w:val="0098571D"/>
    <w:rsid w:val="0099135F"/>
    <w:rsid w:val="00991A9F"/>
    <w:rsid w:val="009924B9"/>
    <w:rsid w:val="00992DA2"/>
    <w:rsid w:val="0099385B"/>
    <w:rsid w:val="00995BF2"/>
    <w:rsid w:val="009978D3"/>
    <w:rsid w:val="009A0570"/>
    <w:rsid w:val="009A11A4"/>
    <w:rsid w:val="009A2803"/>
    <w:rsid w:val="009A3FCB"/>
    <w:rsid w:val="009A5342"/>
    <w:rsid w:val="009A5C14"/>
    <w:rsid w:val="009A7F28"/>
    <w:rsid w:val="009B0287"/>
    <w:rsid w:val="009B0B9E"/>
    <w:rsid w:val="009B1520"/>
    <w:rsid w:val="009B4D57"/>
    <w:rsid w:val="009B4FC7"/>
    <w:rsid w:val="009B5049"/>
    <w:rsid w:val="009B68F4"/>
    <w:rsid w:val="009B6A19"/>
    <w:rsid w:val="009B6A6F"/>
    <w:rsid w:val="009B726D"/>
    <w:rsid w:val="009C190E"/>
    <w:rsid w:val="009C4BC5"/>
    <w:rsid w:val="009C6102"/>
    <w:rsid w:val="009C68AF"/>
    <w:rsid w:val="009C7D06"/>
    <w:rsid w:val="009D0026"/>
    <w:rsid w:val="009D09ED"/>
    <w:rsid w:val="009D3FDF"/>
    <w:rsid w:val="009D50BB"/>
    <w:rsid w:val="009D50F4"/>
    <w:rsid w:val="009D5E49"/>
    <w:rsid w:val="009D7D18"/>
    <w:rsid w:val="009E126A"/>
    <w:rsid w:val="009E137B"/>
    <w:rsid w:val="009E1CCB"/>
    <w:rsid w:val="009E28A5"/>
    <w:rsid w:val="009E7180"/>
    <w:rsid w:val="009E72CD"/>
    <w:rsid w:val="009E74B7"/>
    <w:rsid w:val="009F0FFF"/>
    <w:rsid w:val="009F1128"/>
    <w:rsid w:val="009F35E1"/>
    <w:rsid w:val="009F462B"/>
    <w:rsid w:val="009F4DD1"/>
    <w:rsid w:val="009F563C"/>
    <w:rsid w:val="009F73E0"/>
    <w:rsid w:val="009F78F6"/>
    <w:rsid w:val="009F7C08"/>
    <w:rsid w:val="009F7EE7"/>
    <w:rsid w:val="00A00F65"/>
    <w:rsid w:val="00A01A67"/>
    <w:rsid w:val="00A05249"/>
    <w:rsid w:val="00A07E31"/>
    <w:rsid w:val="00A10948"/>
    <w:rsid w:val="00A119D8"/>
    <w:rsid w:val="00A13BBB"/>
    <w:rsid w:val="00A153A0"/>
    <w:rsid w:val="00A16E4E"/>
    <w:rsid w:val="00A21B97"/>
    <w:rsid w:val="00A22DD0"/>
    <w:rsid w:val="00A234D1"/>
    <w:rsid w:val="00A23FBB"/>
    <w:rsid w:val="00A25E3C"/>
    <w:rsid w:val="00A26B0D"/>
    <w:rsid w:val="00A30CFA"/>
    <w:rsid w:val="00A31449"/>
    <w:rsid w:val="00A32026"/>
    <w:rsid w:val="00A33B54"/>
    <w:rsid w:val="00A342CC"/>
    <w:rsid w:val="00A34BEA"/>
    <w:rsid w:val="00A35019"/>
    <w:rsid w:val="00A351C3"/>
    <w:rsid w:val="00A35D54"/>
    <w:rsid w:val="00A360F9"/>
    <w:rsid w:val="00A375D5"/>
    <w:rsid w:val="00A40341"/>
    <w:rsid w:val="00A42171"/>
    <w:rsid w:val="00A43D62"/>
    <w:rsid w:val="00A44CF1"/>
    <w:rsid w:val="00A50017"/>
    <w:rsid w:val="00A512F4"/>
    <w:rsid w:val="00A520F0"/>
    <w:rsid w:val="00A53601"/>
    <w:rsid w:val="00A545E9"/>
    <w:rsid w:val="00A565FF"/>
    <w:rsid w:val="00A56CB0"/>
    <w:rsid w:val="00A612BA"/>
    <w:rsid w:val="00A613AA"/>
    <w:rsid w:val="00A62D78"/>
    <w:rsid w:val="00A62E68"/>
    <w:rsid w:val="00A658A0"/>
    <w:rsid w:val="00A67828"/>
    <w:rsid w:val="00A702C7"/>
    <w:rsid w:val="00A70458"/>
    <w:rsid w:val="00A71219"/>
    <w:rsid w:val="00A71E0F"/>
    <w:rsid w:val="00A71EE8"/>
    <w:rsid w:val="00A721DE"/>
    <w:rsid w:val="00A721F7"/>
    <w:rsid w:val="00A74A34"/>
    <w:rsid w:val="00A750F8"/>
    <w:rsid w:val="00A75E87"/>
    <w:rsid w:val="00A7766F"/>
    <w:rsid w:val="00A81181"/>
    <w:rsid w:val="00A82798"/>
    <w:rsid w:val="00A82C13"/>
    <w:rsid w:val="00A8377D"/>
    <w:rsid w:val="00A83D5E"/>
    <w:rsid w:val="00A863DC"/>
    <w:rsid w:val="00A90491"/>
    <w:rsid w:val="00A90B1D"/>
    <w:rsid w:val="00A91222"/>
    <w:rsid w:val="00A91ED9"/>
    <w:rsid w:val="00A936EA"/>
    <w:rsid w:val="00AA2293"/>
    <w:rsid w:val="00AA22FF"/>
    <w:rsid w:val="00AA622A"/>
    <w:rsid w:val="00AB0C8D"/>
    <w:rsid w:val="00AB2112"/>
    <w:rsid w:val="00AB5A8D"/>
    <w:rsid w:val="00AB619A"/>
    <w:rsid w:val="00AB67C7"/>
    <w:rsid w:val="00AB764F"/>
    <w:rsid w:val="00AC177E"/>
    <w:rsid w:val="00AC61C4"/>
    <w:rsid w:val="00AC65AC"/>
    <w:rsid w:val="00AC6ADF"/>
    <w:rsid w:val="00AD12C6"/>
    <w:rsid w:val="00AD2F9C"/>
    <w:rsid w:val="00AD32A0"/>
    <w:rsid w:val="00AD3546"/>
    <w:rsid w:val="00AD3CA8"/>
    <w:rsid w:val="00AD424B"/>
    <w:rsid w:val="00AD5008"/>
    <w:rsid w:val="00AD52DD"/>
    <w:rsid w:val="00AD5BC7"/>
    <w:rsid w:val="00AD66F7"/>
    <w:rsid w:val="00AD6DE0"/>
    <w:rsid w:val="00AD7096"/>
    <w:rsid w:val="00AD7F9A"/>
    <w:rsid w:val="00AE0D21"/>
    <w:rsid w:val="00AE1610"/>
    <w:rsid w:val="00AE265B"/>
    <w:rsid w:val="00AE2852"/>
    <w:rsid w:val="00AE2A37"/>
    <w:rsid w:val="00AE34F4"/>
    <w:rsid w:val="00AE6CCD"/>
    <w:rsid w:val="00AE7E62"/>
    <w:rsid w:val="00AF0CEA"/>
    <w:rsid w:val="00AF28BA"/>
    <w:rsid w:val="00AF435D"/>
    <w:rsid w:val="00AF52C7"/>
    <w:rsid w:val="00AF5ABA"/>
    <w:rsid w:val="00AF6DEA"/>
    <w:rsid w:val="00B000A5"/>
    <w:rsid w:val="00B03F37"/>
    <w:rsid w:val="00B054EA"/>
    <w:rsid w:val="00B05E35"/>
    <w:rsid w:val="00B06198"/>
    <w:rsid w:val="00B07B94"/>
    <w:rsid w:val="00B10860"/>
    <w:rsid w:val="00B12665"/>
    <w:rsid w:val="00B12688"/>
    <w:rsid w:val="00B1459F"/>
    <w:rsid w:val="00B14FB3"/>
    <w:rsid w:val="00B158F0"/>
    <w:rsid w:val="00B16658"/>
    <w:rsid w:val="00B1698C"/>
    <w:rsid w:val="00B1770B"/>
    <w:rsid w:val="00B17E95"/>
    <w:rsid w:val="00B21FFF"/>
    <w:rsid w:val="00B22463"/>
    <w:rsid w:val="00B2319B"/>
    <w:rsid w:val="00B24B5B"/>
    <w:rsid w:val="00B2546C"/>
    <w:rsid w:val="00B26530"/>
    <w:rsid w:val="00B26845"/>
    <w:rsid w:val="00B271D1"/>
    <w:rsid w:val="00B2791A"/>
    <w:rsid w:val="00B27C5A"/>
    <w:rsid w:val="00B27E8E"/>
    <w:rsid w:val="00B30361"/>
    <w:rsid w:val="00B309B1"/>
    <w:rsid w:val="00B31D7F"/>
    <w:rsid w:val="00B32065"/>
    <w:rsid w:val="00B3251B"/>
    <w:rsid w:val="00B33676"/>
    <w:rsid w:val="00B34398"/>
    <w:rsid w:val="00B36287"/>
    <w:rsid w:val="00B41A2D"/>
    <w:rsid w:val="00B42343"/>
    <w:rsid w:val="00B4252A"/>
    <w:rsid w:val="00B4280A"/>
    <w:rsid w:val="00B44518"/>
    <w:rsid w:val="00B44DF6"/>
    <w:rsid w:val="00B456B5"/>
    <w:rsid w:val="00B46B43"/>
    <w:rsid w:val="00B5019B"/>
    <w:rsid w:val="00B5061D"/>
    <w:rsid w:val="00B52B65"/>
    <w:rsid w:val="00B554BF"/>
    <w:rsid w:val="00B5558A"/>
    <w:rsid w:val="00B56F2D"/>
    <w:rsid w:val="00B60DE9"/>
    <w:rsid w:val="00B61595"/>
    <w:rsid w:val="00B61C44"/>
    <w:rsid w:val="00B61E58"/>
    <w:rsid w:val="00B63B1D"/>
    <w:rsid w:val="00B64B6B"/>
    <w:rsid w:val="00B65143"/>
    <w:rsid w:val="00B66C95"/>
    <w:rsid w:val="00B74AE9"/>
    <w:rsid w:val="00B75192"/>
    <w:rsid w:val="00B80933"/>
    <w:rsid w:val="00B80CD9"/>
    <w:rsid w:val="00B8113E"/>
    <w:rsid w:val="00B81EF5"/>
    <w:rsid w:val="00B864DB"/>
    <w:rsid w:val="00B93020"/>
    <w:rsid w:val="00B94FFF"/>
    <w:rsid w:val="00B9637B"/>
    <w:rsid w:val="00B97A93"/>
    <w:rsid w:val="00BA1FC0"/>
    <w:rsid w:val="00BA4200"/>
    <w:rsid w:val="00BA5160"/>
    <w:rsid w:val="00BA59F8"/>
    <w:rsid w:val="00BA66C3"/>
    <w:rsid w:val="00BA6EB4"/>
    <w:rsid w:val="00BB0F6D"/>
    <w:rsid w:val="00BB393A"/>
    <w:rsid w:val="00BB4ADC"/>
    <w:rsid w:val="00BB5279"/>
    <w:rsid w:val="00BB74A9"/>
    <w:rsid w:val="00BB76CD"/>
    <w:rsid w:val="00BC051B"/>
    <w:rsid w:val="00BC0BD5"/>
    <w:rsid w:val="00BC176A"/>
    <w:rsid w:val="00BC1F80"/>
    <w:rsid w:val="00BC205A"/>
    <w:rsid w:val="00BC56B6"/>
    <w:rsid w:val="00BC5F71"/>
    <w:rsid w:val="00BD0A9E"/>
    <w:rsid w:val="00BD0CA1"/>
    <w:rsid w:val="00BD2AC0"/>
    <w:rsid w:val="00BD372B"/>
    <w:rsid w:val="00BD675C"/>
    <w:rsid w:val="00BD6F3A"/>
    <w:rsid w:val="00BD7AAB"/>
    <w:rsid w:val="00BD7DBF"/>
    <w:rsid w:val="00BE2FDB"/>
    <w:rsid w:val="00BE4C91"/>
    <w:rsid w:val="00BE4D00"/>
    <w:rsid w:val="00BE616D"/>
    <w:rsid w:val="00BE62FA"/>
    <w:rsid w:val="00BE6C10"/>
    <w:rsid w:val="00BF056E"/>
    <w:rsid w:val="00BF0FEE"/>
    <w:rsid w:val="00BF1A90"/>
    <w:rsid w:val="00BF30B0"/>
    <w:rsid w:val="00BF30C5"/>
    <w:rsid w:val="00BF30E3"/>
    <w:rsid w:val="00BF59F7"/>
    <w:rsid w:val="00BF5DB3"/>
    <w:rsid w:val="00BF6C53"/>
    <w:rsid w:val="00BF78B2"/>
    <w:rsid w:val="00BF79F5"/>
    <w:rsid w:val="00C0065A"/>
    <w:rsid w:val="00C01491"/>
    <w:rsid w:val="00C018C0"/>
    <w:rsid w:val="00C04811"/>
    <w:rsid w:val="00C048BE"/>
    <w:rsid w:val="00C05AB2"/>
    <w:rsid w:val="00C06A96"/>
    <w:rsid w:val="00C07C3B"/>
    <w:rsid w:val="00C10230"/>
    <w:rsid w:val="00C103B1"/>
    <w:rsid w:val="00C10605"/>
    <w:rsid w:val="00C10DC2"/>
    <w:rsid w:val="00C11C12"/>
    <w:rsid w:val="00C122D9"/>
    <w:rsid w:val="00C13D8C"/>
    <w:rsid w:val="00C15857"/>
    <w:rsid w:val="00C15DB8"/>
    <w:rsid w:val="00C17121"/>
    <w:rsid w:val="00C174B9"/>
    <w:rsid w:val="00C20068"/>
    <w:rsid w:val="00C21187"/>
    <w:rsid w:val="00C22380"/>
    <w:rsid w:val="00C23BEE"/>
    <w:rsid w:val="00C2495D"/>
    <w:rsid w:val="00C25118"/>
    <w:rsid w:val="00C252E6"/>
    <w:rsid w:val="00C269FF"/>
    <w:rsid w:val="00C3109F"/>
    <w:rsid w:val="00C31A64"/>
    <w:rsid w:val="00C33110"/>
    <w:rsid w:val="00C34003"/>
    <w:rsid w:val="00C355E5"/>
    <w:rsid w:val="00C37D2F"/>
    <w:rsid w:val="00C40EE5"/>
    <w:rsid w:val="00C43D3F"/>
    <w:rsid w:val="00C43EAB"/>
    <w:rsid w:val="00C44711"/>
    <w:rsid w:val="00C4473F"/>
    <w:rsid w:val="00C44EF9"/>
    <w:rsid w:val="00C46940"/>
    <w:rsid w:val="00C46D82"/>
    <w:rsid w:val="00C47B22"/>
    <w:rsid w:val="00C508AD"/>
    <w:rsid w:val="00C5163E"/>
    <w:rsid w:val="00C52A84"/>
    <w:rsid w:val="00C5375F"/>
    <w:rsid w:val="00C5380D"/>
    <w:rsid w:val="00C548B9"/>
    <w:rsid w:val="00C568ED"/>
    <w:rsid w:val="00C57628"/>
    <w:rsid w:val="00C57D8E"/>
    <w:rsid w:val="00C61F6A"/>
    <w:rsid w:val="00C629B3"/>
    <w:rsid w:val="00C6416C"/>
    <w:rsid w:val="00C654F2"/>
    <w:rsid w:val="00C65C69"/>
    <w:rsid w:val="00C670F0"/>
    <w:rsid w:val="00C67249"/>
    <w:rsid w:val="00C727A4"/>
    <w:rsid w:val="00C73103"/>
    <w:rsid w:val="00C7376A"/>
    <w:rsid w:val="00C7470C"/>
    <w:rsid w:val="00C7693A"/>
    <w:rsid w:val="00C81E2C"/>
    <w:rsid w:val="00C825D3"/>
    <w:rsid w:val="00C82810"/>
    <w:rsid w:val="00C82B62"/>
    <w:rsid w:val="00C834E0"/>
    <w:rsid w:val="00C850E3"/>
    <w:rsid w:val="00C874E4"/>
    <w:rsid w:val="00C87EFA"/>
    <w:rsid w:val="00C90C11"/>
    <w:rsid w:val="00C90E62"/>
    <w:rsid w:val="00C920E9"/>
    <w:rsid w:val="00C93CC4"/>
    <w:rsid w:val="00C94BBD"/>
    <w:rsid w:val="00C95DFA"/>
    <w:rsid w:val="00C96613"/>
    <w:rsid w:val="00C96659"/>
    <w:rsid w:val="00C96ED5"/>
    <w:rsid w:val="00CA09BC"/>
    <w:rsid w:val="00CA5592"/>
    <w:rsid w:val="00CB01C0"/>
    <w:rsid w:val="00CB1F79"/>
    <w:rsid w:val="00CB3467"/>
    <w:rsid w:val="00CB489E"/>
    <w:rsid w:val="00CB54A5"/>
    <w:rsid w:val="00CB5FEC"/>
    <w:rsid w:val="00CB7196"/>
    <w:rsid w:val="00CB725D"/>
    <w:rsid w:val="00CC1E7A"/>
    <w:rsid w:val="00CC2E63"/>
    <w:rsid w:val="00CC467E"/>
    <w:rsid w:val="00CC55E3"/>
    <w:rsid w:val="00CC6570"/>
    <w:rsid w:val="00CC6C8E"/>
    <w:rsid w:val="00CC7518"/>
    <w:rsid w:val="00CD107B"/>
    <w:rsid w:val="00CD5ADD"/>
    <w:rsid w:val="00CD686B"/>
    <w:rsid w:val="00CD70B4"/>
    <w:rsid w:val="00CE0AB0"/>
    <w:rsid w:val="00CE18BD"/>
    <w:rsid w:val="00CE25EC"/>
    <w:rsid w:val="00CE3104"/>
    <w:rsid w:val="00CE3AC4"/>
    <w:rsid w:val="00CE500D"/>
    <w:rsid w:val="00CE5FD4"/>
    <w:rsid w:val="00CE6BBD"/>
    <w:rsid w:val="00CF0F59"/>
    <w:rsid w:val="00CF2633"/>
    <w:rsid w:val="00CF3CEA"/>
    <w:rsid w:val="00CF6B83"/>
    <w:rsid w:val="00CF7061"/>
    <w:rsid w:val="00D0097D"/>
    <w:rsid w:val="00D00BC7"/>
    <w:rsid w:val="00D028DA"/>
    <w:rsid w:val="00D0459E"/>
    <w:rsid w:val="00D0504C"/>
    <w:rsid w:val="00D07F27"/>
    <w:rsid w:val="00D11B0D"/>
    <w:rsid w:val="00D15029"/>
    <w:rsid w:val="00D15970"/>
    <w:rsid w:val="00D22022"/>
    <w:rsid w:val="00D25B49"/>
    <w:rsid w:val="00D268AB"/>
    <w:rsid w:val="00D269C0"/>
    <w:rsid w:val="00D270BF"/>
    <w:rsid w:val="00D271B5"/>
    <w:rsid w:val="00D30DE1"/>
    <w:rsid w:val="00D31A6B"/>
    <w:rsid w:val="00D32ABE"/>
    <w:rsid w:val="00D33BFC"/>
    <w:rsid w:val="00D361F4"/>
    <w:rsid w:val="00D406CC"/>
    <w:rsid w:val="00D40EAF"/>
    <w:rsid w:val="00D46C4C"/>
    <w:rsid w:val="00D5041E"/>
    <w:rsid w:val="00D50642"/>
    <w:rsid w:val="00D5211E"/>
    <w:rsid w:val="00D5330B"/>
    <w:rsid w:val="00D54563"/>
    <w:rsid w:val="00D54787"/>
    <w:rsid w:val="00D57411"/>
    <w:rsid w:val="00D62528"/>
    <w:rsid w:val="00D63189"/>
    <w:rsid w:val="00D66A52"/>
    <w:rsid w:val="00D71CA8"/>
    <w:rsid w:val="00D74084"/>
    <w:rsid w:val="00D746B2"/>
    <w:rsid w:val="00D77C1F"/>
    <w:rsid w:val="00D80508"/>
    <w:rsid w:val="00D8094E"/>
    <w:rsid w:val="00D81018"/>
    <w:rsid w:val="00D81B5E"/>
    <w:rsid w:val="00D83D18"/>
    <w:rsid w:val="00D85506"/>
    <w:rsid w:val="00D85DAB"/>
    <w:rsid w:val="00D87605"/>
    <w:rsid w:val="00D91EBF"/>
    <w:rsid w:val="00D9285D"/>
    <w:rsid w:val="00D93822"/>
    <w:rsid w:val="00D93886"/>
    <w:rsid w:val="00D9730B"/>
    <w:rsid w:val="00D97DD9"/>
    <w:rsid w:val="00DA0B3A"/>
    <w:rsid w:val="00DA155A"/>
    <w:rsid w:val="00DA27C0"/>
    <w:rsid w:val="00DA43BD"/>
    <w:rsid w:val="00DA56B8"/>
    <w:rsid w:val="00DA7575"/>
    <w:rsid w:val="00DB0CBA"/>
    <w:rsid w:val="00DB0D99"/>
    <w:rsid w:val="00DB14EA"/>
    <w:rsid w:val="00DB58F1"/>
    <w:rsid w:val="00DB5E5B"/>
    <w:rsid w:val="00DB6733"/>
    <w:rsid w:val="00DC01A1"/>
    <w:rsid w:val="00DC0505"/>
    <w:rsid w:val="00DC3BD6"/>
    <w:rsid w:val="00DC3ED7"/>
    <w:rsid w:val="00DC61B3"/>
    <w:rsid w:val="00DD0E0F"/>
    <w:rsid w:val="00DD5518"/>
    <w:rsid w:val="00DD67BE"/>
    <w:rsid w:val="00DD6850"/>
    <w:rsid w:val="00DD69C3"/>
    <w:rsid w:val="00DD7795"/>
    <w:rsid w:val="00DE08E7"/>
    <w:rsid w:val="00DE4E88"/>
    <w:rsid w:val="00DE55E1"/>
    <w:rsid w:val="00DF0A66"/>
    <w:rsid w:val="00DF0F42"/>
    <w:rsid w:val="00DF3C80"/>
    <w:rsid w:val="00DF4EA7"/>
    <w:rsid w:val="00DF5BEA"/>
    <w:rsid w:val="00DF656D"/>
    <w:rsid w:val="00E0053F"/>
    <w:rsid w:val="00E014E2"/>
    <w:rsid w:val="00E0157A"/>
    <w:rsid w:val="00E0323E"/>
    <w:rsid w:val="00E04882"/>
    <w:rsid w:val="00E05DA4"/>
    <w:rsid w:val="00E06750"/>
    <w:rsid w:val="00E10015"/>
    <w:rsid w:val="00E13155"/>
    <w:rsid w:val="00E14085"/>
    <w:rsid w:val="00E1438B"/>
    <w:rsid w:val="00E14AE1"/>
    <w:rsid w:val="00E173F2"/>
    <w:rsid w:val="00E17DB3"/>
    <w:rsid w:val="00E17F1A"/>
    <w:rsid w:val="00E20925"/>
    <w:rsid w:val="00E225DB"/>
    <w:rsid w:val="00E232B4"/>
    <w:rsid w:val="00E24570"/>
    <w:rsid w:val="00E25B6B"/>
    <w:rsid w:val="00E33535"/>
    <w:rsid w:val="00E37B2A"/>
    <w:rsid w:val="00E404BB"/>
    <w:rsid w:val="00E41916"/>
    <w:rsid w:val="00E4286C"/>
    <w:rsid w:val="00E43B9D"/>
    <w:rsid w:val="00E4493E"/>
    <w:rsid w:val="00E44FD1"/>
    <w:rsid w:val="00E45A5B"/>
    <w:rsid w:val="00E46CA1"/>
    <w:rsid w:val="00E4783F"/>
    <w:rsid w:val="00E50D50"/>
    <w:rsid w:val="00E51322"/>
    <w:rsid w:val="00E51C28"/>
    <w:rsid w:val="00E520F0"/>
    <w:rsid w:val="00E53211"/>
    <w:rsid w:val="00E540E6"/>
    <w:rsid w:val="00E562BC"/>
    <w:rsid w:val="00E56651"/>
    <w:rsid w:val="00E60023"/>
    <w:rsid w:val="00E60AAB"/>
    <w:rsid w:val="00E622D3"/>
    <w:rsid w:val="00E6460F"/>
    <w:rsid w:val="00E67470"/>
    <w:rsid w:val="00E67F0A"/>
    <w:rsid w:val="00E74478"/>
    <w:rsid w:val="00E747E1"/>
    <w:rsid w:val="00E74A63"/>
    <w:rsid w:val="00E74FA6"/>
    <w:rsid w:val="00E75EFD"/>
    <w:rsid w:val="00E77EA3"/>
    <w:rsid w:val="00E81A47"/>
    <w:rsid w:val="00E8652A"/>
    <w:rsid w:val="00E86579"/>
    <w:rsid w:val="00E87CB5"/>
    <w:rsid w:val="00E918FE"/>
    <w:rsid w:val="00E932BB"/>
    <w:rsid w:val="00E94091"/>
    <w:rsid w:val="00E943A5"/>
    <w:rsid w:val="00E95D31"/>
    <w:rsid w:val="00E97A86"/>
    <w:rsid w:val="00E97C2F"/>
    <w:rsid w:val="00EA0341"/>
    <w:rsid w:val="00EA042F"/>
    <w:rsid w:val="00EA2295"/>
    <w:rsid w:val="00EA24DA"/>
    <w:rsid w:val="00EA5960"/>
    <w:rsid w:val="00EA60D7"/>
    <w:rsid w:val="00EA6CBA"/>
    <w:rsid w:val="00EA716C"/>
    <w:rsid w:val="00EA71D4"/>
    <w:rsid w:val="00EB02AD"/>
    <w:rsid w:val="00EB0DE4"/>
    <w:rsid w:val="00EB13F5"/>
    <w:rsid w:val="00EB35DB"/>
    <w:rsid w:val="00EB3A93"/>
    <w:rsid w:val="00EB4602"/>
    <w:rsid w:val="00EB71E5"/>
    <w:rsid w:val="00EB7CD0"/>
    <w:rsid w:val="00EC03BD"/>
    <w:rsid w:val="00EC0795"/>
    <w:rsid w:val="00EC1DF1"/>
    <w:rsid w:val="00EC1ED7"/>
    <w:rsid w:val="00EC2F59"/>
    <w:rsid w:val="00EC68E0"/>
    <w:rsid w:val="00EC73DC"/>
    <w:rsid w:val="00ED02A4"/>
    <w:rsid w:val="00ED0EBF"/>
    <w:rsid w:val="00ED541E"/>
    <w:rsid w:val="00ED55FE"/>
    <w:rsid w:val="00ED61FF"/>
    <w:rsid w:val="00EE1545"/>
    <w:rsid w:val="00EE189C"/>
    <w:rsid w:val="00EE240F"/>
    <w:rsid w:val="00EE3B58"/>
    <w:rsid w:val="00EE4C48"/>
    <w:rsid w:val="00EE7CF8"/>
    <w:rsid w:val="00EF1353"/>
    <w:rsid w:val="00EF27AF"/>
    <w:rsid w:val="00EF3124"/>
    <w:rsid w:val="00EF364A"/>
    <w:rsid w:val="00EF3F49"/>
    <w:rsid w:val="00EF47FC"/>
    <w:rsid w:val="00EF494B"/>
    <w:rsid w:val="00EF4BA6"/>
    <w:rsid w:val="00EF5C90"/>
    <w:rsid w:val="00EF5FA2"/>
    <w:rsid w:val="00EF6A58"/>
    <w:rsid w:val="00F009E8"/>
    <w:rsid w:val="00F0220F"/>
    <w:rsid w:val="00F02413"/>
    <w:rsid w:val="00F04BB6"/>
    <w:rsid w:val="00F069E3"/>
    <w:rsid w:val="00F105F9"/>
    <w:rsid w:val="00F10DE0"/>
    <w:rsid w:val="00F119BE"/>
    <w:rsid w:val="00F12852"/>
    <w:rsid w:val="00F12EC6"/>
    <w:rsid w:val="00F13E7E"/>
    <w:rsid w:val="00F13E9E"/>
    <w:rsid w:val="00F14A2D"/>
    <w:rsid w:val="00F14B90"/>
    <w:rsid w:val="00F15315"/>
    <w:rsid w:val="00F1648D"/>
    <w:rsid w:val="00F175A5"/>
    <w:rsid w:val="00F211B3"/>
    <w:rsid w:val="00F21648"/>
    <w:rsid w:val="00F21CDD"/>
    <w:rsid w:val="00F22F31"/>
    <w:rsid w:val="00F2395C"/>
    <w:rsid w:val="00F275E7"/>
    <w:rsid w:val="00F309D9"/>
    <w:rsid w:val="00F345D5"/>
    <w:rsid w:val="00F355DB"/>
    <w:rsid w:val="00F36F7B"/>
    <w:rsid w:val="00F4084E"/>
    <w:rsid w:val="00F418F7"/>
    <w:rsid w:val="00F437B9"/>
    <w:rsid w:val="00F4464B"/>
    <w:rsid w:val="00F447CF"/>
    <w:rsid w:val="00F44A5A"/>
    <w:rsid w:val="00F4537F"/>
    <w:rsid w:val="00F456EF"/>
    <w:rsid w:val="00F457D3"/>
    <w:rsid w:val="00F46A7D"/>
    <w:rsid w:val="00F505CD"/>
    <w:rsid w:val="00F5452D"/>
    <w:rsid w:val="00F562B6"/>
    <w:rsid w:val="00F608CB"/>
    <w:rsid w:val="00F60C0F"/>
    <w:rsid w:val="00F61AD4"/>
    <w:rsid w:val="00F61DC3"/>
    <w:rsid w:val="00F61F62"/>
    <w:rsid w:val="00F622B9"/>
    <w:rsid w:val="00F62C1D"/>
    <w:rsid w:val="00F64AC6"/>
    <w:rsid w:val="00F65895"/>
    <w:rsid w:val="00F70C0F"/>
    <w:rsid w:val="00F7109C"/>
    <w:rsid w:val="00F71660"/>
    <w:rsid w:val="00F72BA0"/>
    <w:rsid w:val="00F733C8"/>
    <w:rsid w:val="00F74281"/>
    <w:rsid w:val="00F75863"/>
    <w:rsid w:val="00F76343"/>
    <w:rsid w:val="00F77AC7"/>
    <w:rsid w:val="00F80954"/>
    <w:rsid w:val="00F8124B"/>
    <w:rsid w:val="00F819A3"/>
    <w:rsid w:val="00F85679"/>
    <w:rsid w:val="00F903FD"/>
    <w:rsid w:val="00F91E92"/>
    <w:rsid w:val="00F9312E"/>
    <w:rsid w:val="00F951B8"/>
    <w:rsid w:val="00F958F7"/>
    <w:rsid w:val="00F9599A"/>
    <w:rsid w:val="00F96381"/>
    <w:rsid w:val="00F96BDD"/>
    <w:rsid w:val="00F970D2"/>
    <w:rsid w:val="00FA1F84"/>
    <w:rsid w:val="00FA369A"/>
    <w:rsid w:val="00FA3973"/>
    <w:rsid w:val="00FA3FE4"/>
    <w:rsid w:val="00FA5170"/>
    <w:rsid w:val="00FA5AE8"/>
    <w:rsid w:val="00FA7A59"/>
    <w:rsid w:val="00FB2E97"/>
    <w:rsid w:val="00FB42E1"/>
    <w:rsid w:val="00FB7C73"/>
    <w:rsid w:val="00FC1808"/>
    <w:rsid w:val="00FC1B02"/>
    <w:rsid w:val="00FC3FAE"/>
    <w:rsid w:val="00FC5BD4"/>
    <w:rsid w:val="00FC651C"/>
    <w:rsid w:val="00FD02FD"/>
    <w:rsid w:val="00FD1272"/>
    <w:rsid w:val="00FD163F"/>
    <w:rsid w:val="00FD5F4A"/>
    <w:rsid w:val="00FE1800"/>
    <w:rsid w:val="00FE1FE9"/>
    <w:rsid w:val="00FE4211"/>
    <w:rsid w:val="00FE703A"/>
    <w:rsid w:val="00FE7732"/>
    <w:rsid w:val="00FF0375"/>
    <w:rsid w:val="00FF1918"/>
    <w:rsid w:val="00FF23FD"/>
    <w:rsid w:val="00FF3C93"/>
    <w:rsid w:val="00FF49C0"/>
    <w:rsid w:val="00FF5638"/>
    <w:rsid w:val="00FF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4DF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2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284"/>
    <w:pPr>
      <w:ind w:left="720"/>
      <w:contextualSpacing/>
    </w:pPr>
  </w:style>
  <w:style w:type="paragraph" w:styleId="FootnoteText">
    <w:name w:val="footnote text"/>
    <w:basedOn w:val="Normal"/>
    <w:link w:val="FootnoteTextChar"/>
    <w:uiPriority w:val="99"/>
    <w:unhideWhenUsed/>
    <w:rsid w:val="003C2284"/>
    <w:rPr>
      <w:sz w:val="20"/>
      <w:szCs w:val="20"/>
    </w:rPr>
  </w:style>
  <w:style w:type="character" w:customStyle="1" w:styleId="FootnoteTextChar">
    <w:name w:val="Footnote Text Char"/>
    <w:basedOn w:val="DefaultParagraphFont"/>
    <w:link w:val="FootnoteText"/>
    <w:uiPriority w:val="99"/>
    <w:rsid w:val="003C2284"/>
    <w:rPr>
      <w:rFonts w:ascii="Calibri" w:eastAsia="Calibri" w:hAnsi="Calibri" w:cs="Times New Roman"/>
      <w:sz w:val="20"/>
      <w:szCs w:val="20"/>
    </w:rPr>
  </w:style>
  <w:style w:type="character" w:styleId="FootnoteReference">
    <w:name w:val="footnote reference"/>
    <w:uiPriority w:val="99"/>
    <w:unhideWhenUsed/>
    <w:rsid w:val="003C2284"/>
    <w:rPr>
      <w:vertAlign w:val="superscript"/>
    </w:rPr>
  </w:style>
  <w:style w:type="paragraph" w:customStyle="1" w:styleId="MediumGrid21">
    <w:name w:val="Medium Grid 21"/>
    <w:uiPriority w:val="1"/>
    <w:qFormat/>
    <w:rsid w:val="002D4CCA"/>
    <w:rPr>
      <w:rFonts w:ascii="Calibri" w:eastAsia="Calibri" w:hAnsi="Calibri" w:cs="Times New Roman"/>
      <w:sz w:val="22"/>
      <w:szCs w:val="22"/>
      <w:lang w:val="en-ZA"/>
    </w:rPr>
  </w:style>
  <w:style w:type="paragraph" w:styleId="NoSpacing">
    <w:name w:val="No Spacing"/>
    <w:uiPriority w:val="1"/>
    <w:qFormat/>
    <w:rsid w:val="00C252E6"/>
    <w:rPr>
      <w:sz w:val="22"/>
      <w:szCs w:val="22"/>
      <w:lang w:val="en-ZA"/>
    </w:rPr>
  </w:style>
  <w:style w:type="table" w:customStyle="1" w:styleId="TableGrid1">
    <w:name w:val="Table Grid1"/>
    <w:basedOn w:val="TableNormal"/>
    <w:next w:val="TableGrid"/>
    <w:uiPriority w:val="39"/>
    <w:rsid w:val="003D51B6"/>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D5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C44"/>
    <w:pPr>
      <w:tabs>
        <w:tab w:val="center" w:pos="4513"/>
        <w:tab w:val="right" w:pos="9026"/>
      </w:tabs>
    </w:pPr>
  </w:style>
  <w:style w:type="character" w:customStyle="1" w:styleId="HeaderChar">
    <w:name w:val="Header Char"/>
    <w:basedOn w:val="DefaultParagraphFont"/>
    <w:link w:val="Header"/>
    <w:uiPriority w:val="99"/>
    <w:rsid w:val="00B61C44"/>
    <w:rPr>
      <w:rFonts w:ascii="Calibri" w:eastAsia="Calibri" w:hAnsi="Calibri" w:cs="Times New Roman"/>
    </w:rPr>
  </w:style>
  <w:style w:type="paragraph" w:styleId="Footer">
    <w:name w:val="footer"/>
    <w:basedOn w:val="Normal"/>
    <w:link w:val="FooterChar"/>
    <w:uiPriority w:val="99"/>
    <w:unhideWhenUsed/>
    <w:rsid w:val="00B61C44"/>
    <w:pPr>
      <w:tabs>
        <w:tab w:val="center" w:pos="4513"/>
        <w:tab w:val="right" w:pos="9026"/>
      </w:tabs>
    </w:pPr>
  </w:style>
  <w:style w:type="character" w:customStyle="1" w:styleId="FooterChar">
    <w:name w:val="Footer Char"/>
    <w:basedOn w:val="DefaultParagraphFont"/>
    <w:link w:val="Footer"/>
    <w:uiPriority w:val="99"/>
    <w:rsid w:val="00B61C44"/>
    <w:rPr>
      <w:rFonts w:ascii="Calibri" w:eastAsia="Calibri" w:hAnsi="Calibri" w:cs="Times New Roman"/>
    </w:rPr>
  </w:style>
  <w:style w:type="paragraph" w:styleId="BalloonText">
    <w:name w:val="Balloon Text"/>
    <w:basedOn w:val="Normal"/>
    <w:link w:val="BalloonTextChar"/>
    <w:uiPriority w:val="99"/>
    <w:semiHidden/>
    <w:unhideWhenUsed/>
    <w:rsid w:val="00A74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A3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2022-06-29T18:30:00+00:00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79C7867-F824-4D79-BEDE-3A52711A4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F2DFD-2356-418B-ACEF-D29A3990FA44}">
  <ds:schemaRefs>
    <ds:schemaRef ds:uri="http://schemas.microsoft.com/sharepoint/v3/contenttype/forms"/>
  </ds:schemaRefs>
</ds:datastoreItem>
</file>

<file path=customXml/itemProps3.xml><?xml version="1.0" encoding="utf-8"?>
<ds:datastoreItem xmlns:ds="http://schemas.openxmlformats.org/officeDocument/2006/customXml" ds:itemID="{E27832A1-6642-4347-A81F-3A21A8314355}">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B5C221B2-7F67-4312-96DC-4DEECB7B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7474</Words>
  <Characters>42605</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River View Estate CC v DTA of Namibia</vt:lpstr>
    </vt:vector>
  </TitlesOfParts>
  <Company/>
  <LinksUpToDate>false</LinksUpToDate>
  <CharactersWithSpaces>49980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View Estate CC v DTA of Namibia</dc:title>
  <dc:subject/>
  <dc:creator>Microsoft Office User</dc:creator>
  <cp:keywords/>
  <dc:description/>
  <cp:lastModifiedBy>HOME</cp:lastModifiedBy>
  <cp:revision>2</cp:revision>
  <cp:lastPrinted>2022-06-30T12:35:00Z</cp:lastPrinted>
  <dcterms:created xsi:type="dcterms:W3CDTF">2022-07-02T13:59:00Z</dcterms:created>
  <dcterms:modified xsi:type="dcterms:W3CDTF">2022-07-02T13:59:00Z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